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4" w:type="dxa"/>
        <w:tblLayout w:type="fixed"/>
        <w:tblLook w:val="0000"/>
      </w:tblPr>
      <w:tblGrid>
        <w:gridCol w:w="1155"/>
        <w:gridCol w:w="1079"/>
        <w:gridCol w:w="1987"/>
        <w:gridCol w:w="706"/>
        <w:gridCol w:w="4962"/>
        <w:gridCol w:w="4285"/>
      </w:tblGrid>
      <w:tr w:rsidR="00315D85" w:rsidTr="005807BD">
        <w:trPr>
          <w:trHeight w:val="495"/>
        </w:trPr>
        <w:tc>
          <w:tcPr>
            <w:tcW w:w="14174" w:type="dxa"/>
            <w:gridSpan w:val="6"/>
            <w:tcBorders>
              <w:left w:val="nil"/>
              <w:bottom w:val="single" w:sz="4" w:space="0" w:color="auto"/>
              <w:right w:val="nil"/>
            </w:tcBorders>
            <w:vAlign w:val="center"/>
          </w:tcPr>
          <w:p w:rsidR="00315D85" w:rsidRDefault="00315D85" w:rsidP="005807BD">
            <w:pPr>
              <w:widowControl/>
              <w:jc w:val="center"/>
              <w:rPr>
                <w:rFonts w:ascii="宋体" w:hAnsi="宋体" w:cs="宋体"/>
                <w:b/>
                <w:bCs/>
                <w:kern w:val="0"/>
                <w:sz w:val="36"/>
                <w:szCs w:val="36"/>
              </w:rPr>
            </w:pPr>
            <w:r w:rsidRPr="00727F2F">
              <w:rPr>
                <w:rFonts w:ascii="黑体" w:eastAsia="黑体" w:hAnsi="黑体" w:cs="黑体"/>
                <w:b/>
                <w:bCs/>
                <w:kern w:val="0"/>
                <w:sz w:val="36"/>
                <w:szCs w:val="36"/>
              </w:rPr>
              <w:pict>
                <v:shapetype id="_x0000_t202" coordsize="21600,21600" o:spt="202" path="m,l,21600r21600,l21600,xe">
                  <v:stroke joinstyle="miter"/>
                  <v:path gradientshapeok="t" o:connecttype="rect"/>
                </v:shapetype>
                <v:shape id="Quad Arrow 6" o:spid="_x0000_s2051" type="#_x0000_t202" style="position:absolute;left:0;text-align:left;margin-left:-15.95pt;margin-top:-23.9pt;width:72.8pt;height:69.6pt;z-index:251658240" o:preferrelative="t" stroked="f">
                  <v:textbox style="mso-next-textbox:#Quad Arrow 6;mso-fit-shape-to-text:t">
                    <w:txbxContent>
                      <w:p w:rsidR="00315D85" w:rsidRPr="002A06E4" w:rsidRDefault="00315D85" w:rsidP="00315D85">
                        <w:pPr>
                          <w:rPr>
                            <w:rFonts w:asciiTheme="majorEastAsia" w:eastAsiaTheme="majorEastAsia" w:hAnsiTheme="majorEastAsia" w:cs="仿宋_GB2312"/>
                            <w:sz w:val="30"/>
                            <w:szCs w:val="30"/>
                          </w:rPr>
                        </w:pPr>
                        <w:r w:rsidRPr="002A06E4">
                          <w:rPr>
                            <w:rFonts w:asciiTheme="majorEastAsia" w:eastAsiaTheme="majorEastAsia" w:hAnsiTheme="majorEastAsia" w:cs="仿宋_GB2312" w:hint="eastAsia"/>
                            <w:sz w:val="30"/>
                            <w:szCs w:val="30"/>
                          </w:rPr>
                          <w:t>附件</w:t>
                        </w:r>
                        <w:r>
                          <w:rPr>
                            <w:rFonts w:asciiTheme="majorEastAsia" w:eastAsiaTheme="majorEastAsia" w:hAnsiTheme="majorEastAsia" w:cs="仿宋_GB2312" w:hint="eastAsia"/>
                            <w:sz w:val="30"/>
                            <w:szCs w:val="30"/>
                          </w:rPr>
                          <w:t>2</w:t>
                        </w:r>
                        <w:r w:rsidRPr="002A06E4">
                          <w:rPr>
                            <w:rFonts w:asciiTheme="majorEastAsia" w:eastAsiaTheme="majorEastAsia" w:hAnsiTheme="majorEastAsia" w:cs="仿宋_GB2312" w:hint="eastAsia"/>
                            <w:sz w:val="30"/>
                            <w:szCs w:val="30"/>
                          </w:rPr>
                          <w:t>：</w:t>
                        </w:r>
                      </w:p>
                    </w:txbxContent>
                  </v:textbox>
                </v:shape>
              </w:pict>
            </w:r>
            <w:r>
              <w:rPr>
                <w:rFonts w:ascii="黑体" w:eastAsia="黑体" w:hAnsi="黑体" w:cs="黑体" w:hint="eastAsia"/>
                <w:b/>
                <w:bCs/>
                <w:kern w:val="0"/>
                <w:sz w:val="36"/>
                <w:szCs w:val="36"/>
              </w:rPr>
              <w:t>2014年上海市民体育大联赛赛事项目绩效评价指标</w:t>
            </w:r>
          </w:p>
        </w:tc>
      </w:tr>
      <w:tr w:rsidR="00315D85" w:rsidRPr="00EC395F" w:rsidTr="005807BD">
        <w:trPr>
          <w:trHeight w:val="488"/>
        </w:trPr>
        <w:tc>
          <w:tcPr>
            <w:tcW w:w="1155" w:type="dxa"/>
            <w:tcBorders>
              <w:top w:val="single" w:sz="4" w:space="0" w:color="auto"/>
              <w:left w:val="single" w:sz="4" w:space="0" w:color="auto"/>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楷体_GB2312"/>
                <w:b/>
                <w:bCs/>
                <w:kern w:val="0"/>
                <w:szCs w:val="21"/>
              </w:rPr>
            </w:pPr>
            <w:r w:rsidRPr="00EC395F">
              <w:rPr>
                <w:rFonts w:ascii="仿宋" w:eastAsia="仿宋" w:hAnsi="仿宋" w:cs="楷体_GB2312" w:hint="eastAsia"/>
                <w:b/>
                <w:bCs/>
                <w:kern w:val="0"/>
                <w:szCs w:val="21"/>
              </w:rPr>
              <w:t>一级指标</w:t>
            </w:r>
          </w:p>
        </w:tc>
        <w:tc>
          <w:tcPr>
            <w:tcW w:w="1079"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楷体_GB2312"/>
                <w:b/>
                <w:bCs/>
                <w:kern w:val="0"/>
                <w:szCs w:val="21"/>
              </w:rPr>
            </w:pPr>
            <w:r w:rsidRPr="00EC395F">
              <w:rPr>
                <w:rFonts w:ascii="仿宋" w:eastAsia="仿宋" w:hAnsi="仿宋" w:cs="楷体_GB2312" w:hint="eastAsia"/>
                <w:b/>
                <w:bCs/>
                <w:kern w:val="0"/>
                <w:szCs w:val="21"/>
              </w:rPr>
              <w:t>二级指标</w:t>
            </w:r>
          </w:p>
        </w:tc>
        <w:tc>
          <w:tcPr>
            <w:tcW w:w="1987"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楷体_GB2312"/>
                <w:b/>
                <w:bCs/>
                <w:kern w:val="0"/>
                <w:szCs w:val="21"/>
              </w:rPr>
            </w:pPr>
            <w:r w:rsidRPr="00EC395F">
              <w:rPr>
                <w:rFonts w:ascii="仿宋" w:eastAsia="仿宋" w:hAnsi="仿宋" w:cs="楷体_GB2312" w:hint="eastAsia"/>
                <w:b/>
                <w:bCs/>
                <w:kern w:val="0"/>
                <w:szCs w:val="21"/>
              </w:rPr>
              <w:t>三级指标</w:t>
            </w:r>
          </w:p>
        </w:tc>
        <w:tc>
          <w:tcPr>
            <w:tcW w:w="706"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楷体_GB2312"/>
                <w:b/>
                <w:bCs/>
                <w:kern w:val="0"/>
                <w:szCs w:val="21"/>
              </w:rPr>
            </w:pPr>
            <w:r w:rsidRPr="00EC395F">
              <w:rPr>
                <w:rFonts w:ascii="仿宋" w:eastAsia="仿宋" w:hAnsi="仿宋" w:cs="楷体_GB2312" w:hint="eastAsia"/>
                <w:b/>
                <w:bCs/>
                <w:kern w:val="0"/>
                <w:szCs w:val="21"/>
              </w:rPr>
              <w:t>分值</w:t>
            </w:r>
          </w:p>
        </w:tc>
        <w:tc>
          <w:tcPr>
            <w:tcW w:w="4962"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楷体_GB2312"/>
                <w:b/>
                <w:bCs/>
                <w:kern w:val="0"/>
                <w:szCs w:val="21"/>
              </w:rPr>
            </w:pPr>
            <w:r w:rsidRPr="00EC395F">
              <w:rPr>
                <w:rFonts w:ascii="仿宋" w:eastAsia="仿宋" w:hAnsi="仿宋" w:cs="楷体_GB2312" w:hint="eastAsia"/>
                <w:b/>
                <w:bCs/>
                <w:kern w:val="0"/>
                <w:szCs w:val="21"/>
              </w:rPr>
              <w:t>指标解释</w:t>
            </w:r>
          </w:p>
        </w:tc>
        <w:tc>
          <w:tcPr>
            <w:tcW w:w="4285"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楷体_GB2312"/>
                <w:b/>
                <w:bCs/>
                <w:kern w:val="0"/>
                <w:szCs w:val="21"/>
              </w:rPr>
            </w:pPr>
            <w:r w:rsidRPr="00EC395F">
              <w:rPr>
                <w:rFonts w:ascii="仿宋" w:eastAsia="仿宋" w:hAnsi="仿宋" w:cs="楷体_GB2312" w:hint="eastAsia"/>
                <w:b/>
                <w:bCs/>
                <w:kern w:val="0"/>
                <w:szCs w:val="21"/>
              </w:rPr>
              <w:t>评分标准</w:t>
            </w:r>
          </w:p>
        </w:tc>
      </w:tr>
      <w:tr w:rsidR="00315D85" w:rsidRPr="00EC395F" w:rsidTr="005807BD">
        <w:trPr>
          <w:trHeight w:val="734"/>
        </w:trPr>
        <w:tc>
          <w:tcPr>
            <w:tcW w:w="1155" w:type="dxa"/>
            <w:vMerge w:val="restart"/>
            <w:tcBorders>
              <w:top w:val="single" w:sz="4" w:space="0" w:color="auto"/>
              <w:left w:val="single" w:sz="4" w:space="0" w:color="auto"/>
              <w:bottom w:val="single" w:sz="4" w:space="0" w:color="000000"/>
              <w:right w:val="single" w:sz="4" w:space="0" w:color="auto"/>
            </w:tcBorders>
          </w:tcPr>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 xml:space="preserve"> 项目</w:t>
            </w:r>
            <w:r w:rsidRPr="00EC395F">
              <w:rPr>
                <w:rFonts w:ascii="仿宋" w:eastAsia="仿宋" w:hAnsi="仿宋" w:cs="仿宋_GB2312" w:hint="eastAsia"/>
                <w:kern w:val="0"/>
                <w:sz w:val="24"/>
                <w:szCs w:val="24"/>
              </w:rPr>
              <w:lastRenderedPageBreak/>
              <w:t>绩效</w:t>
            </w: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Pr="00EC395F" w:rsidRDefault="00315D85" w:rsidP="005807BD">
            <w:pPr>
              <w:widowControl/>
              <w:jc w:val="center"/>
              <w:rPr>
                <w:rFonts w:ascii="仿宋" w:eastAsia="仿宋" w:hAnsi="仿宋" w:cs="宋体"/>
                <w:kern w:val="0"/>
                <w:sz w:val="24"/>
                <w:szCs w:val="24"/>
              </w:rPr>
            </w:pP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 xml:space="preserve"> 项目绩效</w:t>
            </w:r>
          </w:p>
        </w:tc>
        <w:tc>
          <w:tcPr>
            <w:tcW w:w="1079"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lastRenderedPageBreak/>
              <w:t xml:space="preserve"> </w:t>
            </w: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1 项目产出</w:t>
            </w:r>
          </w:p>
        </w:tc>
        <w:tc>
          <w:tcPr>
            <w:tcW w:w="1987"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11 赛事完成率</w:t>
            </w:r>
          </w:p>
        </w:tc>
        <w:tc>
          <w:tcPr>
            <w:tcW w:w="706"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r w:rsidRPr="00EC395F">
              <w:rPr>
                <w:rFonts w:ascii="仿宋" w:eastAsia="仿宋" w:hAnsi="仿宋" w:cs="仿宋_GB2312" w:hint="eastAsia"/>
                <w:kern w:val="0"/>
                <w:sz w:val="24"/>
                <w:szCs w:val="24"/>
              </w:rPr>
              <w:t>10</w:t>
            </w:r>
          </w:p>
        </w:tc>
        <w:tc>
          <w:tcPr>
            <w:tcW w:w="4962"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赛事完成率=（实际完成</w:t>
            </w:r>
            <w:proofErr w:type="gramStart"/>
            <w:r w:rsidRPr="00EC395F">
              <w:rPr>
                <w:rFonts w:ascii="仿宋" w:eastAsia="仿宋" w:hAnsi="仿宋" w:cs="仿宋_GB2312" w:hint="eastAsia"/>
                <w:kern w:val="0"/>
                <w:sz w:val="24"/>
                <w:szCs w:val="24"/>
              </w:rPr>
              <w:t>赛事数</w:t>
            </w:r>
            <w:proofErr w:type="gramEnd"/>
            <w:r w:rsidRPr="00EC395F">
              <w:rPr>
                <w:rFonts w:ascii="仿宋" w:eastAsia="仿宋" w:hAnsi="仿宋" w:cs="仿宋_GB2312" w:hint="eastAsia"/>
                <w:kern w:val="0"/>
                <w:sz w:val="24"/>
                <w:szCs w:val="24"/>
              </w:rPr>
              <w:t>/计划完成赛事数）*100%。</w:t>
            </w:r>
          </w:p>
        </w:tc>
        <w:tc>
          <w:tcPr>
            <w:tcW w:w="4285"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rPr>
                <w:rFonts w:ascii="仿宋" w:eastAsia="仿宋" w:hAnsi="仿宋" w:cs="仿宋_GB2312"/>
                <w:kern w:val="0"/>
                <w:sz w:val="24"/>
                <w:szCs w:val="24"/>
              </w:rPr>
            </w:pPr>
            <w:r w:rsidRPr="00EC395F">
              <w:rPr>
                <w:rFonts w:ascii="仿宋" w:eastAsia="仿宋" w:hAnsi="仿宋" w:cs="仿宋_GB2312" w:hint="eastAsia"/>
                <w:kern w:val="0"/>
                <w:sz w:val="24"/>
                <w:szCs w:val="24"/>
              </w:rPr>
              <w:t>此项指标大于等于100%为满分，每下降1%，扣0.1分。</w:t>
            </w:r>
          </w:p>
        </w:tc>
      </w:tr>
      <w:tr w:rsidR="00315D85" w:rsidRPr="00EC395F" w:rsidTr="005807BD">
        <w:trPr>
          <w:trHeight w:val="499"/>
        </w:trPr>
        <w:tc>
          <w:tcPr>
            <w:tcW w:w="1155" w:type="dxa"/>
            <w:vMerge/>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1079" w:type="dxa"/>
            <w:vMerge w:val="restart"/>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rPr>
                <w:rFonts w:ascii="仿宋" w:eastAsia="仿宋" w:hAnsi="仿宋" w:cs="仿宋_GB2312"/>
                <w:kern w:val="0"/>
                <w:sz w:val="24"/>
                <w:szCs w:val="24"/>
              </w:rPr>
            </w:pP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2 社会动员力度</w:t>
            </w:r>
          </w:p>
        </w:tc>
        <w:tc>
          <w:tcPr>
            <w:tcW w:w="1987" w:type="dxa"/>
            <w:vMerge w:val="restart"/>
            <w:tcBorders>
              <w:top w:val="nil"/>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21 参赛报名社会化</w:t>
            </w:r>
          </w:p>
        </w:tc>
        <w:tc>
          <w:tcPr>
            <w:tcW w:w="706" w:type="dxa"/>
            <w:vMerge w:val="restart"/>
            <w:tcBorders>
              <w:top w:val="nil"/>
              <w:left w:val="single" w:sz="4" w:space="0" w:color="auto"/>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r w:rsidRPr="00EC395F">
              <w:rPr>
                <w:rFonts w:ascii="仿宋" w:eastAsia="仿宋" w:hAnsi="仿宋" w:cs="仿宋_GB2312" w:hint="eastAsia"/>
                <w:kern w:val="0"/>
                <w:sz w:val="24"/>
                <w:szCs w:val="24"/>
              </w:rPr>
              <w:t>5</w:t>
            </w:r>
          </w:p>
        </w:tc>
        <w:tc>
          <w:tcPr>
            <w:tcW w:w="4962" w:type="dxa"/>
            <w:vMerge w:val="restart"/>
            <w:tcBorders>
              <w:top w:val="nil"/>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考察各项赛事的参赛对象通过社会公开报名招募，无硬性摊派参赛名额情况。建立网络报名、电话报名、现场报名于一体的较为完善的赛事报名系统，并设专人负责报名工作。</w:t>
            </w: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A、未设专人负责报名的扣2分；</w:t>
            </w:r>
          </w:p>
        </w:tc>
      </w:tr>
      <w:tr w:rsidR="00315D85" w:rsidRPr="00EC395F" w:rsidTr="005807BD">
        <w:trPr>
          <w:trHeight w:val="480"/>
        </w:trPr>
        <w:tc>
          <w:tcPr>
            <w:tcW w:w="1155" w:type="dxa"/>
            <w:vMerge/>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1079" w:type="dxa"/>
            <w:vMerge/>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1987" w:type="dxa"/>
            <w:vMerge/>
            <w:tcBorders>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706" w:type="dxa"/>
            <w:vMerge/>
            <w:tcBorders>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4962" w:type="dxa"/>
            <w:vMerge/>
            <w:tcBorders>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B、报名系统缺失一种的扣2分；</w:t>
            </w:r>
          </w:p>
        </w:tc>
      </w:tr>
      <w:tr w:rsidR="00315D85" w:rsidRPr="00EC395F" w:rsidTr="005807BD">
        <w:trPr>
          <w:trHeight w:val="390"/>
        </w:trPr>
        <w:tc>
          <w:tcPr>
            <w:tcW w:w="1155" w:type="dxa"/>
            <w:vMerge/>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1079" w:type="dxa"/>
            <w:vMerge/>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1987" w:type="dxa"/>
            <w:vMerge/>
            <w:tcBorders>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706" w:type="dxa"/>
            <w:vMerge/>
            <w:tcBorders>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4962" w:type="dxa"/>
            <w:vMerge/>
            <w:tcBorders>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C、存在硬性摊派名额情况的扣2分；</w:t>
            </w:r>
          </w:p>
        </w:tc>
      </w:tr>
      <w:tr w:rsidR="00315D85" w:rsidRPr="00EC395F" w:rsidTr="005807BD">
        <w:trPr>
          <w:trHeight w:val="437"/>
        </w:trPr>
        <w:tc>
          <w:tcPr>
            <w:tcW w:w="1155" w:type="dxa"/>
            <w:vMerge/>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1079" w:type="dxa"/>
            <w:vMerge/>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1987" w:type="dxa"/>
            <w:vMerge/>
            <w:tcBorders>
              <w:left w:val="single" w:sz="4" w:space="0" w:color="auto"/>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706" w:type="dxa"/>
            <w:vMerge/>
            <w:tcBorders>
              <w:left w:val="single" w:sz="4" w:space="0" w:color="auto"/>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4962" w:type="dxa"/>
            <w:vMerge/>
            <w:tcBorders>
              <w:left w:val="single" w:sz="4" w:space="0" w:color="auto"/>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4285" w:type="dxa"/>
            <w:tcBorders>
              <w:top w:val="single" w:sz="4" w:space="0" w:color="auto"/>
              <w:left w:val="nil"/>
              <w:bottom w:val="single" w:sz="4" w:space="0" w:color="auto"/>
              <w:right w:val="single" w:sz="4" w:space="0" w:color="auto"/>
            </w:tcBorders>
            <w:vAlign w:val="center"/>
          </w:tcPr>
          <w:p w:rsidR="00315D85" w:rsidRPr="00EC395F" w:rsidRDefault="00315D85" w:rsidP="005807BD">
            <w:pPr>
              <w:jc w:val="left"/>
              <w:rPr>
                <w:rFonts w:ascii="仿宋" w:eastAsia="仿宋" w:hAnsi="仿宋" w:cs="仿宋_GB2312"/>
                <w:kern w:val="0"/>
                <w:sz w:val="24"/>
                <w:szCs w:val="24"/>
              </w:rPr>
            </w:pPr>
            <w:r>
              <w:rPr>
                <w:rFonts w:ascii="仿宋" w:eastAsia="仿宋" w:hAnsi="仿宋" w:cs="仿宋_GB2312" w:hint="eastAsia"/>
                <w:kern w:val="0"/>
                <w:sz w:val="24"/>
                <w:szCs w:val="24"/>
              </w:rPr>
              <w:t>D、</w:t>
            </w:r>
            <w:r w:rsidRPr="00EC395F">
              <w:rPr>
                <w:rFonts w:ascii="仿宋" w:eastAsia="仿宋" w:hAnsi="仿宋" w:cs="仿宋_GB2312" w:hint="eastAsia"/>
                <w:kern w:val="0"/>
                <w:sz w:val="24"/>
                <w:szCs w:val="24"/>
              </w:rPr>
              <w:t>未实行社会公开报名的扣5分。</w:t>
            </w:r>
          </w:p>
        </w:tc>
      </w:tr>
      <w:tr w:rsidR="00315D85" w:rsidRPr="00EC395F" w:rsidTr="005807BD">
        <w:trPr>
          <w:trHeight w:val="1005"/>
        </w:trPr>
        <w:tc>
          <w:tcPr>
            <w:tcW w:w="1155" w:type="dxa"/>
            <w:vMerge/>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1079" w:type="dxa"/>
            <w:vMerge/>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1987" w:type="dxa"/>
            <w:tcBorders>
              <w:top w:val="single" w:sz="4" w:space="0" w:color="auto"/>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22 赛事规模</w:t>
            </w:r>
          </w:p>
        </w:tc>
        <w:tc>
          <w:tcPr>
            <w:tcW w:w="706" w:type="dxa"/>
            <w:tcBorders>
              <w:top w:val="single" w:sz="4" w:space="0" w:color="auto"/>
              <w:left w:val="single" w:sz="4" w:space="0" w:color="auto"/>
              <w:bottom w:val="single" w:sz="4" w:space="0" w:color="000000"/>
              <w:right w:val="single" w:sz="4" w:space="0" w:color="auto"/>
            </w:tcBorders>
            <w:vAlign w:val="center"/>
          </w:tcPr>
          <w:p w:rsidR="00315D85" w:rsidRPr="00EC395F" w:rsidRDefault="00315D85" w:rsidP="005807BD">
            <w:pPr>
              <w:widowControl/>
              <w:jc w:val="center"/>
              <w:rPr>
                <w:rFonts w:ascii="仿宋" w:eastAsia="仿宋" w:hAnsi="仿宋" w:cs="宋体"/>
                <w:kern w:val="0"/>
                <w:sz w:val="24"/>
                <w:szCs w:val="24"/>
              </w:rPr>
            </w:pPr>
            <w:r w:rsidRPr="00EC395F">
              <w:rPr>
                <w:rFonts w:ascii="仿宋" w:eastAsia="仿宋" w:hAnsi="仿宋" w:cs="宋体" w:hint="eastAsia"/>
                <w:kern w:val="0"/>
                <w:sz w:val="24"/>
                <w:szCs w:val="24"/>
              </w:rPr>
              <w:t>12</w:t>
            </w:r>
          </w:p>
        </w:tc>
        <w:tc>
          <w:tcPr>
            <w:tcW w:w="4962" w:type="dxa"/>
            <w:tcBorders>
              <w:top w:val="single" w:sz="4" w:space="0" w:color="auto"/>
              <w:left w:val="single" w:sz="4" w:space="0" w:color="auto"/>
              <w:bottom w:val="single" w:sz="4" w:space="0" w:color="auto"/>
              <w:right w:val="single" w:sz="4" w:space="0" w:color="auto"/>
            </w:tcBorders>
            <w:vAlign w:val="center"/>
          </w:tcPr>
          <w:p w:rsidR="00315D85" w:rsidRPr="00EC395F" w:rsidRDefault="00315D85" w:rsidP="005807BD">
            <w:pPr>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正式项目（大项）市级竞赛参赛总人数不低于3000人或组织市级竞赛赛事不低于6个；</w:t>
            </w:r>
          </w:p>
          <w:p w:rsidR="00315D85" w:rsidRPr="00EC395F" w:rsidRDefault="00315D85" w:rsidP="005807BD">
            <w:pPr>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正式项目（项群所含项目）市级竞赛参赛总人数不低于1500人或组织市级竞赛赛事不低于3个；</w:t>
            </w:r>
          </w:p>
          <w:p w:rsidR="00315D85" w:rsidRPr="00EC395F" w:rsidRDefault="00315D85" w:rsidP="005807BD">
            <w:pPr>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lastRenderedPageBreak/>
              <w:t>申报项目市级竞赛参赛总人数不低于750人</w:t>
            </w:r>
            <w:r>
              <w:rPr>
                <w:rFonts w:ascii="仿宋" w:eastAsia="仿宋" w:hAnsi="仿宋" w:cs="仿宋_GB2312" w:hint="eastAsia"/>
                <w:kern w:val="0"/>
                <w:sz w:val="24"/>
                <w:szCs w:val="24"/>
              </w:rPr>
              <w:t>。</w:t>
            </w:r>
          </w:p>
        </w:tc>
        <w:tc>
          <w:tcPr>
            <w:tcW w:w="4285"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lastRenderedPageBreak/>
              <w:t>赛事规模</w:t>
            </w:r>
            <w:r>
              <w:rPr>
                <w:rFonts w:ascii="仿宋" w:eastAsia="仿宋" w:hAnsi="仿宋" w:cs="仿宋_GB2312" w:hint="eastAsia"/>
                <w:kern w:val="0"/>
                <w:sz w:val="24"/>
                <w:szCs w:val="24"/>
              </w:rPr>
              <w:t>所要求的指标</w:t>
            </w:r>
            <w:r w:rsidRPr="00EC395F">
              <w:rPr>
                <w:rFonts w:ascii="仿宋" w:eastAsia="仿宋" w:hAnsi="仿宋" w:cs="仿宋_GB2312" w:hint="eastAsia"/>
                <w:kern w:val="0"/>
                <w:sz w:val="24"/>
                <w:szCs w:val="24"/>
              </w:rPr>
              <w:t>每下降1%，扣0.</w:t>
            </w:r>
            <w:r>
              <w:rPr>
                <w:rFonts w:ascii="仿宋" w:eastAsia="仿宋" w:hAnsi="仿宋" w:cs="仿宋_GB2312" w:hint="eastAsia"/>
                <w:kern w:val="0"/>
                <w:sz w:val="24"/>
                <w:szCs w:val="24"/>
              </w:rPr>
              <w:t>12</w:t>
            </w:r>
            <w:r w:rsidRPr="00EC395F">
              <w:rPr>
                <w:rFonts w:ascii="仿宋" w:eastAsia="仿宋" w:hAnsi="仿宋" w:cs="仿宋_GB2312" w:hint="eastAsia"/>
                <w:kern w:val="0"/>
                <w:sz w:val="24"/>
                <w:szCs w:val="24"/>
              </w:rPr>
              <w:t>分；</w:t>
            </w:r>
          </w:p>
        </w:tc>
      </w:tr>
      <w:tr w:rsidR="00315D85" w:rsidRPr="00EC395F" w:rsidTr="005807BD">
        <w:trPr>
          <w:trHeight w:val="1050"/>
        </w:trPr>
        <w:tc>
          <w:tcPr>
            <w:tcW w:w="1155" w:type="dxa"/>
            <w:vMerge/>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1079" w:type="dxa"/>
            <w:vMerge w:val="restart"/>
            <w:tcBorders>
              <w:top w:val="nil"/>
              <w:left w:val="single" w:sz="4" w:space="0" w:color="auto"/>
              <w:right w:val="single" w:sz="4" w:space="0" w:color="auto"/>
            </w:tcBorders>
            <w:vAlign w:val="center"/>
          </w:tcPr>
          <w:p w:rsidR="00315D85" w:rsidRDefault="00315D85" w:rsidP="005807BD">
            <w:pPr>
              <w:widowControl/>
              <w:rPr>
                <w:rFonts w:ascii="仿宋" w:eastAsia="仿宋" w:hAnsi="仿宋" w:cs="仿宋_GB2312"/>
                <w:kern w:val="0"/>
                <w:sz w:val="24"/>
                <w:szCs w:val="24"/>
              </w:rPr>
            </w:pPr>
          </w:p>
          <w:p w:rsidR="00315D85" w:rsidRDefault="00315D85" w:rsidP="005807BD">
            <w:pPr>
              <w:widowControl/>
              <w:rPr>
                <w:rFonts w:ascii="仿宋" w:eastAsia="仿宋" w:hAnsi="仿宋" w:cs="仿宋_GB2312"/>
                <w:kern w:val="0"/>
                <w:sz w:val="24"/>
                <w:szCs w:val="24"/>
              </w:rPr>
            </w:pPr>
          </w:p>
          <w:p w:rsidR="00315D85" w:rsidRDefault="00315D85" w:rsidP="005807BD">
            <w:pPr>
              <w:widowControl/>
              <w:rPr>
                <w:rFonts w:ascii="仿宋" w:eastAsia="仿宋" w:hAnsi="仿宋" w:cs="仿宋_GB2312"/>
                <w:kern w:val="0"/>
                <w:sz w:val="24"/>
                <w:szCs w:val="24"/>
              </w:rPr>
            </w:pPr>
          </w:p>
          <w:p w:rsidR="00315D85" w:rsidRDefault="00315D85" w:rsidP="005807BD">
            <w:pPr>
              <w:widowControl/>
              <w:rPr>
                <w:rFonts w:ascii="仿宋" w:eastAsia="仿宋" w:hAnsi="仿宋" w:cs="仿宋_GB2312"/>
                <w:kern w:val="0"/>
                <w:sz w:val="24"/>
                <w:szCs w:val="24"/>
              </w:rPr>
            </w:pP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3 社会宣传广度</w:t>
            </w:r>
          </w:p>
          <w:p w:rsidR="00315D85" w:rsidRDefault="00315D85" w:rsidP="005807BD">
            <w:pPr>
              <w:widowControl/>
              <w:rPr>
                <w:rFonts w:ascii="仿宋" w:eastAsia="仿宋" w:hAnsi="仿宋" w:cs="仿宋_GB2312"/>
                <w:kern w:val="0"/>
                <w:sz w:val="24"/>
                <w:szCs w:val="24"/>
              </w:rPr>
            </w:pPr>
          </w:p>
          <w:p w:rsidR="00315D85" w:rsidRDefault="00315D85" w:rsidP="005807BD">
            <w:pPr>
              <w:widowControl/>
              <w:rPr>
                <w:rFonts w:ascii="仿宋" w:eastAsia="仿宋" w:hAnsi="仿宋" w:cs="仿宋_GB2312"/>
                <w:kern w:val="0"/>
                <w:sz w:val="24"/>
                <w:szCs w:val="24"/>
              </w:rPr>
            </w:pPr>
          </w:p>
          <w:p w:rsidR="00315D85" w:rsidRPr="00EC395F" w:rsidRDefault="00315D85" w:rsidP="005807BD">
            <w:pPr>
              <w:widowControl/>
              <w:rPr>
                <w:rFonts w:ascii="仿宋" w:eastAsia="仿宋" w:hAnsi="仿宋" w:cs="宋体"/>
                <w:kern w:val="0"/>
                <w:sz w:val="24"/>
                <w:szCs w:val="24"/>
              </w:rPr>
            </w:pP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3 社会宣传广度</w:t>
            </w:r>
          </w:p>
        </w:tc>
        <w:tc>
          <w:tcPr>
            <w:tcW w:w="1987" w:type="dxa"/>
            <w:vMerge w:val="restart"/>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 xml:space="preserve">31 新闻报送强度  </w:t>
            </w:r>
          </w:p>
        </w:tc>
        <w:tc>
          <w:tcPr>
            <w:tcW w:w="706" w:type="dxa"/>
            <w:vMerge w:val="restart"/>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center"/>
              <w:rPr>
                <w:rFonts w:ascii="仿宋" w:eastAsia="仿宋" w:hAnsi="仿宋" w:cs="宋体"/>
                <w:kern w:val="0"/>
                <w:sz w:val="24"/>
                <w:szCs w:val="24"/>
              </w:rPr>
            </w:pPr>
            <w:r w:rsidRPr="00EC395F">
              <w:rPr>
                <w:rFonts w:ascii="仿宋" w:eastAsia="仿宋" w:hAnsi="仿宋" w:cs="宋体" w:hint="eastAsia"/>
                <w:kern w:val="0"/>
                <w:sz w:val="24"/>
                <w:szCs w:val="24"/>
              </w:rPr>
              <w:t>8</w:t>
            </w:r>
          </w:p>
        </w:tc>
        <w:tc>
          <w:tcPr>
            <w:tcW w:w="4962" w:type="dxa"/>
            <w:vMerge w:val="restart"/>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正式项目（大项）的承办单位应在办赛过程中向相关单位提供图片和</w:t>
            </w:r>
            <w:proofErr w:type="gramStart"/>
            <w:r w:rsidRPr="00EC395F">
              <w:rPr>
                <w:rFonts w:ascii="仿宋" w:eastAsia="仿宋" w:hAnsi="仿宋" w:cs="仿宋_GB2312" w:hint="eastAsia"/>
                <w:kern w:val="0"/>
                <w:sz w:val="24"/>
                <w:szCs w:val="24"/>
              </w:rPr>
              <w:t>音视频</w:t>
            </w:r>
            <w:proofErr w:type="gramEnd"/>
            <w:r w:rsidRPr="00EC395F">
              <w:rPr>
                <w:rFonts w:ascii="仿宋" w:eastAsia="仿宋" w:hAnsi="仿宋" w:cs="仿宋_GB2312" w:hint="eastAsia"/>
                <w:kern w:val="0"/>
                <w:sz w:val="24"/>
                <w:szCs w:val="24"/>
              </w:rPr>
              <w:t>资料不少于200幅（段），提供新闻线索不少于20个；正式项目各项群所含项目的承办单位应提供图片和</w:t>
            </w:r>
            <w:proofErr w:type="gramStart"/>
            <w:r w:rsidRPr="00EC395F">
              <w:rPr>
                <w:rFonts w:ascii="仿宋" w:eastAsia="仿宋" w:hAnsi="仿宋" w:cs="仿宋_GB2312" w:hint="eastAsia"/>
                <w:kern w:val="0"/>
                <w:sz w:val="24"/>
                <w:szCs w:val="24"/>
              </w:rPr>
              <w:t>音视频</w:t>
            </w:r>
            <w:proofErr w:type="gramEnd"/>
            <w:r w:rsidRPr="00EC395F">
              <w:rPr>
                <w:rFonts w:ascii="仿宋" w:eastAsia="仿宋" w:hAnsi="仿宋" w:cs="仿宋_GB2312" w:hint="eastAsia"/>
                <w:kern w:val="0"/>
                <w:sz w:val="24"/>
                <w:szCs w:val="24"/>
              </w:rPr>
              <w:t>资料不少于100幅（段），提供新闻线索不少于10个；申报项目的承办单位应提供图片和</w:t>
            </w:r>
            <w:proofErr w:type="gramStart"/>
            <w:r w:rsidRPr="00EC395F">
              <w:rPr>
                <w:rFonts w:ascii="仿宋" w:eastAsia="仿宋" w:hAnsi="仿宋" w:cs="仿宋_GB2312" w:hint="eastAsia"/>
                <w:kern w:val="0"/>
                <w:sz w:val="24"/>
                <w:szCs w:val="24"/>
              </w:rPr>
              <w:t>音视频</w:t>
            </w:r>
            <w:proofErr w:type="gramEnd"/>
            <w:r w:rsidRPr="00EC395F">
              <w:rPr>
                <w:rFonts w:ascii="仿宋" w:eastAsia="仿宋" w:hAnsi="仿宋" w:cs="仿宋_GB2312" w:hint="eastAsia"/>
                <w:kern w:val="0"/>
                <w:sz w:val="24"/>
                <w:szCs w:val="24"/>
              </w:rPr>
              <w:t>资料不少于50幅（段），提供新闻线索不少于5个。</w:t>
            </w: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A、图片和</w:t>
            </w:r>
            <w:proofErr w:type="gramStart"/>
            <w:r w:rsidRPr="00EC395F">
              <w:rPr>
                <w:rFonts w:ascii="仿宋" w:eastAsia="仿宋" w:hAnsi="仿宋" w:cs="仿宋_GB2312" w:hint="eastAsia"/>
                <w:kern w:val="0"/>
                <w:sz w:val="24"/>
                <w:szCs w:val="24"/>
              </w:rPr>
              <w:t>音视频</w:t>
            </w:r>
            <w:proofErr w:type="gramEnd"/>
            <w:r w:rsidRPr="00EC395F">
              <w:rPr>
                <w:rFonts w:ascii="仿宋" w:eastAsia="仿宋" w:hAnsi="仿宋" w:cs="仿宋_GB2312" w:hint="eastAsia"/>
                <w:kern w:val="0"/>
                <w:sz w:val="24"/>
                <w:szCs w:val="24"/>
              </w:rPr>
              <w:t>分值4分；数量满足要求不扣分，每下降1%，扣0.04分；</w:t>
            </w:r>
          </w:p>
        </w:tc>
      </w:tr>
      <w:tr w:rsidR="00315D85" w:rsidRPr="00EC395F" w:rsidTr="005807BD">
        <w:trPr>
          <w:trHeight w:val="1050"/>
        </w:trPr>
        <w:tc>
          <w:tcPr>
            <w:tcW w:w="1155" w:type="dxa"/>
            <w:vMerge/>
            <w:tcBorders>
              <w:top w:val="nil"/>
              <w:left w:val="single" w:sz="4" w:space="0" w:color="auto"/>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1079" w:type="dxa"/>
            <w:vMerge/>
            <w:tcBorders>
              <w:left w:val="single" w:sz="4" w:space="0" w:color="auto"/>
              <w:bottom w:val="single" w:sz="4" w:space="0" w:color="auto"/>
              <w:right w:val="single" w:sz="4" w:space="0" w:color="auto"/>
            </w:tcBorders>
            <w:vAlign w:val="center"/>
          </w:tcPr>
          <w:p w:rsidR="00315D85" w:rsidRPr="00EC395F" w:rsidRDefault="00315D85" w:rsidP="005807BD">
            <w:pPr>
              <w:rPr>
                <w:rFonts w:ascii="仿宋" w:eastAsia="仿宋" w:hAnsi="仿宋" w:cs="宋体"/>
                <w:kern w:val="0"/>
                <w:sz w:val="24"/>
                <w:szCs w:val="24"/>
              </w:rPr>
            </w:pPr>
          </w:p>
        </w:tc>
        <w:tc>
          <w:tcPr>
            <w:tcW w:w="1987" w:type="dxa"/>
            <w:vMerge/>
            <w:tcBorders>
              <w:top w:val="nil"/>
              <w:left w:val="single" w:sz="4" w:space="0" w:color="auto"/>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706" w:type="dxa"/>
            <w:vMerge/>
            <w:tcBorders>
              <w:top w:val="nil"/>
              <w:left w:val="single" w:sz="4" w:space="0" w:color="auto"/>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4962" w:type="dxa"/>
            <w:vMerge/>
            <w:tcBorders>
              <w:top w:val="nil"/>
              <w:left w:val="single" w:sz="4" w:space="0" w:color="auto"/>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B、新闻线索分值4分；数量满足要求不扣分，每下降1%，扣0.04分。</w:t>
            </w:r>
          </w:p>
        </w:tc>
      </w:tr>
      <w:tr w:rsidR="00315D85" w:rsidRPr="00EC395F" w:rsidTr="005807BD">
        <w:trPr>
          <w:trHeight w:val="619"/>
        </w:trPr>
        <w:tc>
          <w:tcPr>
            <w:tcW w:w="1155" w:type="dxa"/>
            <w:vMerge/>
            <w:tcBorders>
              <w:top w:val="single" w:sz="4" w:space="0" w:color="auto"/>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宋体"/>
                <w:kern w:val="0"/>
                <w:sz w:val="24"/>
                <w:szCs w:val="24"/>
              </w:rPr>
            </w:pPr>
          </w:p>
        </w:tc>
        <w:tc>
          <w:tcPr>
            <w:tcW w:w="1079" w:type="dxa"/>
            <w:vMerge/>
            <w:tcBorders>
              <w:top w:val="single" w:sz="4" w:space="0" w:color="auto"/>
              <w:left w:val="single" w:sz="4" w:space="0" w:color="auto"/>
              <w:bottom w:val="single" w:sz="4" w:space="0" w:color="000000"/>
              <w:right w:val="single" w:sz="4" w:space="0" w:color="auto"/>
            </w:tcBorders>
            <w:vAlign w:val="center"/>
          </w:tcPr>
          <w:p w:rsidR="00315D85" w:rsidRPr="00EC395F" w:rsidRDefault="00315D85" w:rsidP="005807BD">
            <w:pPr>
              <w:widowControl/>
              <w:rPr>
                <w:rFonts w:ascii="仿宋" w:eastAsia="仿宋" w:hAnsi="仿宋" w:cs="宋体"/>
                <w:kern w:val="0"/>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32 创新宣传途径</w:t>
            </w:r>
          </w:p>
        </w:tc>
        <w:tc>
          <w:tcPr>
            <w:tcW w:w="706" w:type="dxa"/>
            <w:tcBorders>
              <w:top w:val="single" w:sz="4" w:space="0" w:color="auto"/>
              <w:left w:val="single" w:sz="4" w:space="0" w:color="auto"/>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宋体"/>
                <w:kern w:val="0"/>
                <w:sz w:val="24"/>
                <w:szCs w:val="24"/>
              </w:rPr>
            </w:pPr>
            <w:r w:rsidRPr="00EC395F">
              <w:rPr>
                <w:rFonts w:ascii="仿宋" w:eastAsia="仿宋" w:hAnsi="仿宋" w:cs="宋体" w:hint="eastAsia"/>
                <w:kern w:val="0"/>
                <w:sz w:val="24"/>
                <w:szCs w:val="24"/>
              </w:rPr>
              <w:t>5</w:t>
            </w:r>
          </w:p>
        </w:tc>
        <w:tc>
          <w:tcPr>
            <w:tcW w:w="4962" w:type="dxa"/>
            <w:tcBorders>
              <w:top w:val="single" w:sz="4" w:space="0" w:color="auto"/>
              <w:left w:val="single" w:sz="4" w:space="0" w:color="auto"/>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考察是否利用大联赛官方</w:t>
            </w:r>
            <w:proofErr w:type="gramStart"/>
            <w:r w:rsidRPr="00EC395F">
              <w:rPr>
                <w:rFonts w:ascii="仿宋" w:eastAsia="仿宋" w:hAnsi="仿宋" w:cs="仿宋_GB2312" w:hint="eastAsia"/>
                <w:kern w:val="0"/>
                <w:sz w:val="24"/>
                <w:szCs w:val="24"/>
              </w:rPr>
              <w:t>微信二维码形式</w:t>
            </w:r>
            <w:proofErr w:type="gramEnd"/>
            <w:r w:rsidRPr="00EC395F">
              <w:rPr>
                <w:rFonts w:ascii="仿宋" w:eastAsia="仿宋" w:hAnsi="仿宋" w:cs="仿宋_GB2312" w:hint="eastAsia"/>
                <w:kern w:val="0"/>
                <w:sz w:val="24"/>
                <w:szCs w:val="24"/>
              </w:rPr>
              <w:t>进行赛事宣传。</w:t>
            </w:r>
          </w:p>
        </w:tc>
        <w:tc>
          <w:tcPr>
            <w:tcW w:w="4285"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赛事现场没有利用大联赛官方</w:t>
            </w:r>
            <w:proofErr w:type="gramStart"/>
            <w:r w:rsidRPr="00EC395F">
              <w:rPr>
                <w:rFonts w:ascii="仿宋" w:eastAsia="仿宋" w:hAnsi="仿宋" w:cs="仿宋_GB2312" w:hint="eastAsia"/>
                <w:kern w:val="0"/>
                <w:sz w:val="24"/>
                <w:szCs w:val="24"/>
              </w:rPr>
              <w:t>微信二维码</w:t>
            </w:r>
            <w:proofErr w:type="gramEnd"/>
            <w:r w:rsidRPr="00EC395F">
              <w:rPr>
                <w:rFonts w:ascii="仿宋" w:eastAsia="仿宋" w:hAnsi="仿宋" w:cs="仿宋_GB2312" w:hint="eastAsia"/>
                <w:kern w:val="0"/>
                <w:sz w:val="24"/>
                <w:szCs w:val="24"/>
              </w:rPr>
              <w:t>进行宣传，扣5分。</w:t>
            </w:r>
          </w:p>
        </w:tc>
      </w:tr>
      <w:tr w:rsidR="00315D85" w:rsidRPr="00EC395F" w:rsidTr="005807BD">
        <w:trPr>
          <w:trHeight w:val="741"/>
        </w:trPr>
        <w:tc>
          <w:tcPr>
            <w:tcW w:w="1155" w:type="dxa"/>
            <w:vMerge/>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079" w:type="dxa"/>
            <w:vMerge w:val="restart"/>
            <w:tcBorders>
              <w:top w:val="nil"/>
              <w:left w:val="single" w:sz="4" w:space="0" w:color="auto"/>
              <w:bottom w:val="single" w:sz="4" w:space="0" w:color="000000"/>
              <w:right w:val="single" w:sz="4" w:space="0" w:color="auto"/>
            </w:tcBorders>
            <w:vAlign w:val="center"/>
          </w:tcPr>
          <w:p w:rsidR="00315D85" w:rsidRPr="00EC395F" w:rsidRDefault="00315D85" w:rsidP="005807BD">
            <w:pPr>
              <w:widowControl/>
              <w:rPr>
                <w:rFonts w:ascii="仿宋" w:eastAsia="仿宋" w:hAnsi="仿宋" w:cs="仿宋_GB2312"/>
                <w:kern w:val="0"/>
                <w:sz w:val="24"/>
                <w:szCs w:val="24"/>
              </w:rPr>
            </w:pP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4 社会满意程度</w:t>
            </w:r>
          </w:p>
        </w:tc>
        <w:tc>
          <w:tcPr>
            <w:tcW w:w="1987"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 xml:space="preserve">41 市民满意度   </w:t>
            </w:r>
          </w:p>
        </w:tc>
        <w:tc>
          <w:tcPr>
            <w:tcW w:w="706" w:type="dxa"/>
            <w:tcBorders>
              <w:top w:val="nil"/>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r w:rsidRPr="00EC395F">
              <w:rPr>
                <w:rFonts w:ascii="仿宋" w:eastAsia="仿宋" w:hAnsi="仿宋" w:cs="仿宋_GB2312" w:hint="eastAsia"/>
                <w:kern w:val="0"/>
                <w:sz w:val="24"/>
                <w:szCs w:val="24"/>
              </w:rPr>
              <w:t>10</w:t>
            </w:r>
          </w:p>
        </w:tc>
        <w:tc>
          <w:tcPr>
            <w:tcW w:w="4962"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考察参赛选手或观众对赛事满意情况。</w:t>
            </w: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通过问卷调查，市民满意度大于等于80%为满分，每下降1%，扣0.125分。</w:t>
            </w:r>
          </w:p>
        </w:tc>
      </w:tr>
      <w:tr w:rsidR="00315D85" w:rsidRPr="00EC395F" w:rsidTr="005807BD">
        <w:trPr>
          <w:trHeight w:val="836"/>
        </w:trPr>
        <w:tc>
          <w:tcPr>
            <w:tcW w:w="1155" w:type="dxa"/>
            <w:vMerge/>
            <w:tcBorders>
              <w:top w:val="nil"/>
              <w:left w:val="single" w:sz="4" w:space="0" w:color="auto"/>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079" w:type="dxa"/>
            <w:vMerge/>
            <w:tcBorders>
              <w:top w:val="nil"/>
              <w:left w:val="single" w:sz="4" w:space="0" w:color="auto"/>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987"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rPr>
              <w:t>A</w:t>
            </w:r>
            <w:r w:rsidRPr="00EC395F">
              <w:rPr>
                <w:rFonts w:ascii="仿宋" w:eastAsia="仿宋" w:hAnsi="仿宋" w:cs="仿宋_GB2312" w:hint="eastAsia"/>
                <w:kern w:val="0"/>
                <w:sz w:val="24"/>
                <w:szCs w:val="24"/>
              </w:rPr>
              <w:t xml:space="preserve">42 管理人员满意度    </w:t>
            </w:r>
          </w:p>
        </w:tc>
        <w:tc>
          <w:tcPr>
            <w:tcW w:w="706" w:type="dxa"/>
            <w:tcBorders>
              <w:top w:val="nil"/>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r w:rsidRPr="00EC395F">
              <w:rPr>
                <w:rFonts w:ascii="仿宋" w:eastAsia="仿宋" w:hAnsi="仿宋" w:cs="仿宋_GB2312" w:hint="eastAsia"/>
                <w:kern w:val="0"/>
                <w:sz w:val="24"/>
                <w:szCs w:val="24"/>
              </w:rPr>
              <w:t>10</w:t>
            </w:r>
          </w:p>
        </w:tc>
        <w:tc>
          <w:tcPr>
            <w:tcW w:w="4962"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考察管理人员满意情况。</w:t>
            </w: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通过问卷调查，管理人员满意度大于等于80%为满分，每下降1%，扣0.125分。</w:t>
            </w:r>
          </w:p>
        </w:tc>
      </w:tr>
      <w:tr w:rsidR="00315D85" w:rsidRPr="00EC395F" w:rsidTr="005807BD">
        <w:trPr>
          <w:trHeight w:val="600"/>
        </w:trPr>
        <w:tc>
          <w:tcPr>
            <w:tcW w:w="1155" w:type="dxa"/>
            <w:vMerge w:val="restart"/>
            <w:tcBorders>
              <w:top w:val="single" w:sz="4" w:space="0" w:color="auto"/>
              <w:left w:val="single" w:sz="4" w:space="0" w:color="auto"/>
              <w:right w:val="single" w:sz="4" w:space="0" w:color="auto"/>
            </w:tcBorders>
          </w:tcPr>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Pr="00EC395F" w:rsidRDefault="00315D85" w:rsidP="005807BD">
            <w:pPr>
              <w:widowControl/>
              <w:jc w:val="center"/>
              <w:rPr>
                <w:rFonts w:ascii="仿宋" w:eastAsia="仿宋" w:hAnsi="仿宋" w:cs="仿宋_GB2312"/>
                <w:kern w:val="0"/>
                <w:sz w:val="24"/>
                <w:szCs w:val="24"/>
              </w:rPr>
            </w:pPr>
            <w:r>
              <w:rPr>
                <w:rFonts w:ascii="仿宋" w:eastAsia="仿宋" w:hAnsi="仿宋" w:cs="仿宋_GB2312" w:hint="eastAsia"/>
                <w:kern w:val="0"/>
                <w:sz w:val="24"/>
                <w:szCs w:val="24"/>
              </w:rPr>
              <w:lastRenderedPageBreak/>
              <w:t>B</w:t>
            </w:r>
            <w:r w:rsidRPr="00EC395F">
              <w:rPr>
                <w:rFonts w:ascii="仿宋" w:eastAsia="仿宋" w:hAnsi="仿宋" w:cs="仿宋_GB2312" w:hint="eastAsia"/>
                <w:kern w:val="0"/>
                <w:sz w:val="24"/>
                <w:szCs w:val="24"/>
              </w:rPr>
              <w:t xml:space="preserve"> 项目</w:t>
            </w:r>
          </w:p>
          <w:p w:rsidR="00315D85" w:rsidRDefault="00315D85" w:rsidP="005807BD">
            <w:pPr>
              <w:widowControl/>
              <w:jc w:val="center"/>
              <w:rPr>
                <w:rFonts w:ascii="仿宋" w:eastAsia="仿宋" w:hAnsi="仿宋" w:cs="仿宋_GB2312"/>
                <w:kern w:val="0"/>
                <w:sz w:val="24"/>
                <w:szCs w:val="24"/>
              </w:rPr>
            </w:pPr>
            <w:r w:rsidRPr="00EC395F">
              <w:rPr>
                <w:rFonts w:ascii="仿宋" w:eastAsia="仿宋" w:hAnsi="仿宋" w:cs="仿宋_GB2312" w:hint="eastAsia"/>
                <w:kern w:val="0"/>
                <w:sz w:val="24"/>
                <w:szCs w:val="24"/>
              </w:rPr>
              <w:t>管理</w:t>
            </w: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Default="00315D85" w:rsidP="005807BD">
            <w:pPr>
              <w:widowControl/>
              <w:jc w:val="center"/>
              <w:rPr>
                <w:rFonts w:ascii="仿宋" w:eastAsia="仿宋" w:hAnsi="仿宋" w:cs="仿宋_GB2312"/>
                <w:kern w:val="0"/>
                <w:sz w:val="24"/>
                <w:szCs w:val="24"/>
              </w:rPr>
            </w:pPr>
          </w:p>
          <w:p w:rsidR="00315D85" w:rsidRPr="00EC395F" w:rsidRDefault="00315D85" w:rsidP="005807BD">
            <w:pPr>
              <w:widowControl/>
              <w:jc w:val="center"/>
              <w:rPr>
                <w:rFonts w:ascii="仿宋" w:eastAsia="仿宋" w:hAnsi="仿宋" w:cs="仿宋_GB2312"/>
                <w:kern w:val="0"/>
                <w:sz w:val="24"/>
                <w:szCs w:val="24"/>
              </w:rPr>
            </w:pPr>
          </w:p>
          <w:p w:rsidR="00315D85" w:rsidRPr="00EC395F" w:rsidRDefault="00315D85" w:rsidP="005807BD">
            <w:pPr>
              <w:widowControl/>
              <w:jc w:val="center"/>
              <w:rPr>
                <w:rFonts w:ascii="仿宋" w:eastAsia="仿宋" w:hAnsi="仿宋" w:cs="仿宋_GB2312"/>
                <w:kern w:val="0"/>
                <w:sz w:val="24"/>
                <w:szCs w:val="24"/>
              </w:rPr>
            </w:pPr>
            <w:r>
              <w:rPr>
                <w:rFonts w:ascii="仿宋" w:eastAsia="仿宋" w:hAnsi="仿宋" w:cs="仿宋_GB2312" w:hint="eastAsia"/>
                <w:kern w:val="0"/>
                <w:sz w:val="24"/>
                <w:szCs w:val="24"/>
              </w:rPr>
              <w:t>B</w:t>
            </w:r>
            <w:r w:rsidRPr="00EC395F">
              <w:rPr>
                <w:rFonts w:ascii="仿宋" w:eastAsia="仿宋" w:hAnsi="仿宋" w:cs="仿宋_GB2312" w:hint="eastAsia"/>
                <w:kern w:val="0"/>
                <w:sz w:val="24"/>
                <w:szCs w:val="24"/>
              </w:rPr>
              <w:t xml:space="preserve"> 项目</w:t>
            </w:r>
          </w:p>
          <w:p w:rsidR="00315D85" w:rsidRPr="00EC395F" w:rsidRDefault="00315D85" w:rsidP="005807BD">
            <w:pPr>
              <w:jc w:val="center"/>
              <w:rPr>
                <w:rFonts w:ascii="仿宋" w:eastAsia="仿宋" w:hAnsi="仿宋" w:cs="仿宋_GB2312"/>
                <w:kern w:val="0"/>
                <w:sz w:val="24"/>
                <w:szCs w:val="24"/>
              </w:rPr>
            </w:pPr>
            <w:r w:rsidRPr="00EC395F">
              <w:rPr>
                <w:rFonts w:ascii="仿宋" w:eastAsia="仿宋" w:hAnsi="仿宋" w:cs="仿宋_GB2312" w:hint="eastAsia"/>
                <w:kern w:val="0"/>
                <w:sz w:val="24"/>
                <w:szCs w:val="24"/>
              </w:rPr>
              <w:t>管理</w:t>
            </w:r>
          </w:p>
        </w:tc>
        <w:tc>
          <w:tcPr>
            <w:tcW w:w="1079" w:type="dxa"/>
            <w:vMerge w:val="restart"/>
            <w:tcBorders>
              <w:top w:val="single" w:sz="4" w:space="0" w:color="auto"/>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lastRenderedPageBreak/>
              <w:t>B</w:t>
            </w:r>
            <w:r w:rsidRPr="00EC395F">
              <w:rPr>
                <w:rFonts w:ascii="仿宋" w:eastAsia="仿宋" w:hAnsi="仿宋" w:cs="仿宋_GB2312" w:hint="eastAsia"/>
                <w:kern w:val="0"/>
                <w:sz w:val="24"/>
                <w:szCs w:val="24"/>
              </w:rPr>
              <w:t>1 投入管理</w:t>
            </w:r>
          </w:p>
        </w:tc>
        <w:tc>
          <w:tcPr>
            <w:tcW w:w="1987"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rPr>
              <w:t>B</w:t>
            </w:r>
            <w:r w:rsidRPr="00EC395F">
              <w:rPr>
                <w:rFonts w:ascii="仿宋" w:eastAsia="仿宋" w:hAnsi="仿宋" w:cs="仿宋_GB2312" w:hint="eastAsia"/>
                <w:kern w:val="0"/>
                <w:sz w:val="24"/>
                <w:szCs w:val="24"/>
              </w:rPr>
              <w:t>11 政府投入资金执行率</w:t>
            </w:r>
          </w:p>
        </w:tc>
        <w:tc>
          <w:tcPr>
            <w:tcW w:w="706" w:type="dxa"/>
            <w:tcBorders>
              <w:top w:val="single" w:sz="4" w:space="0" w:color="auto"/>
              <w:left w:val="nil"/>
              <w:bottom w:val="single" w:sz="4" w:space="0" w:color="auto"/>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r>
              <w:rPr>
                <w:rFonts w:ascii="仿宋" w:eastAsia="仿宋" w:hAnsi="仿宋" w:cs="仿宋_GB2312" w:hint="eastAsia"/>
                <w:bCs/>
                <w:kern w:val="0"/>
                <w:sz w:val="24"/>
                <w:szCs w:val="24"/>
              </w:rPr>
              <w:t>6</w:t>
            </w:r>
          </w:p>
        </w:tc>
        <w:tc>
          <w:tcPr>
            <w:tcW w:w="4962"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rPr>
                <w:rFonts w:ascii="仿宋" w:eastAsia="仿宋" w:hAnsi="仿宋" w:cs="仿宋_GB2312"/>
                <w:kern w:val="0"/>
                <w:sz w:val="24"/>
                <w:szCs w:val="24"/>
              </w:rPr>
            </w:pPr>
            <w:r w:rsidRPr="00EC395F">
              <w:rPr>
                <w:rFonts w:ascii="仿宋" w:eastAsia="仿宋" w:hAnsi="仿宋" w:cs="仿宋_GB2312" w:hint="eastAsia"/>
                <w:kern w:val="0"/>
                <w:sz w:val="24"/>
                <w:szCs w:val="24"/>
              </w:rPr>
              <w:t>政府投入资金执行率=办赛总支出</w:t>
            </w:r>
            <w:r w:rsidRPr="00EC395F">
              <w:rPr>
                <w:rStyle w:val="a6"/>
                <w:rFonts w:ascii="仿宋" w:eastAsia="仿宋" w:hAnsi="仿宋" w:cs="仿宋_GB2312" w:hint="eastAsia"/>
                <w:kern w:val="0"/>
                <w:sz w:val="24"/>
                <w:szCs w:val="24"/>
              </w:rPr>
              <w:footnoteReference w:id="1"/>
            </w:r>
            <w:r w:rsidRPr="00EC395F">
              <w:rPr>
                <w:rFonts w:ascii="仿宋" w:eastAsia="仿宋" w:hAnsi="仿宋" w:cs="仿宋_GB2312" w:hint="eastAsia"/>
                <w:kern w:val="0"/>
                <w:sz w:val="24"/>
                <w:szCs w:val="24"/>
              </w:rPr>
              <w:t>/政府投入资金总额</w:t>
            </w:r>
          </w:p>
        </w:tc>
        <w:tc>
          <w:tcPr>
            <w:tcW w:w="4285"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此项指标以大于等于100%为满分，每下降1%，扣0.0</w:t>
            </w:r>
            <w:r>
              <w:rPr>
                <w:rFonts w:ascii="仿宋" w:eastAsia="仿宋" w:hAnsi="仿宋" w:cs="仿宋_GB2312" w:hint="eastAsia"/>
                <w:kern w:val="0"/>
                <w:sz w:val="24"/>
                <w:szCs w:val="24"/>
              </w:rPr>
              <w:t>6</w:t>
            </w:r>
            <w:r w:rsidRPr="00EC395F">
              <w:rPr>
                <w:rFonts w:ascii="仿宋" w:eastAsia="仿宋" w:hAnsi="仿宋" w:cs="仿宋_GB2312" w:hint="eastAsia"/>
                <w:kern w:val="0"/>
                <w:sz w:val="24"/>
                <w:szCs w:val="24"/>
              </w:rPr>
              <w:t>分。</w:t>
            </w:r>
          </w:p>
        </w:tc>
      </w:tr>
      <w:tr w:rsidR="00315D85" w:rsidRPr="00EC395F" w:rsidTr="005807BD">
        <w:trPr>
          <w:trHeight w:val="600"/>
        </w:trPr>
        <w:tc>
          <w:tcPr>
            <w:tcW w:w="1155" w:type="dxa"/>
            <w:vMerge/>
            <w:tcBorders>
              <w:left w:val="single" w:sz="4" w:space="0" w:color="auto"/>
              <w:right w:val="single" w:sz="4" w:space="0" w:color="auto"/>
            </w:tcBorders>
            <w:vAlign w:val="center"/>
          </w:tcPr>
          <w:p w:rsidR="00315D85" w:rsidRPr="00EC395F" w:rsidRDefault="00315D85" w:rsidP="005807BD">
            <w:pPr>
              <w:jc w:val="left"/>
              <w:rPr>
                <w:rFonts w:ascii="仿宋" w:eastAsia="仿宋" w:hAnsi="仿宋" w:cs="仿宋_GB2312"/>
                <w:kern w:val="0"/>
                <w:sz w:val="24"/>
                <w:szCs w:val="24"/>
              </w:rPr>
            </w:pPr>
          </w:p>
        </w:tc>
        <w:tc>
          <w:tcPr>
            <w:tcW w:w="1079" w:type="dxa"/>
            <w:vMerge/>
            <w:tcBorders>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987"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rPr>
              <w:t>B</w:t>
            </w:r>
            <w:r w:rsidRPr="00EC395F">
              <w:rPr>
                <w:rFonts w:ascii="仿宋" w:eastAsia="仿宋" w:hAnsi="仿宋" w:cs="仿宋_GB2312" w:hint="eastAsia"/>
                <w:kern w:val="0"/>
                <w:sz w:val="24"/>
                <w:szCs w:val="24"/>
              </w:rPr>
              <w:t>12 财政投入乘数</w:t>
            </w:r>
          </w:p>
        </w:tc>
        <w:tc>
          <w:tcPr>
            <w:tcW w:w="706" w:type="dxa"/>
            <w:tcBorders>
              <w:top w:val="nil"/>
              <w:left w:val="nil"/>
              <w:bottom w:val="single" w:sz="4" w:space="0" w:color="auto"/>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r w:rsidRPr="007D0FC0">
              <w:rPr>
                <w:rFonts w:ascii="仿宋" w:eastAsia="仿宋" w:hAnsi="仿宋" w:cs="仿宋_GB2312" w:hint="eastAsia"/>
                <w:bCs/>
                <w:kern w:val="0"/>
                <w:sz w:val="24"/>
                <w:szCs w:val="24"/>
              </w:rPr>
              <w:t>5</w:t>
            </w:r>
          </w:p>
        </w:tc>
        <w:tc>
          <w:tcPr>
            <w:tcW w:w="4962" w:type="dxa"/>
            <w:tcBorders>
              <w:top w:val="nil"/>
              <w:left w:val="nil"/>
              <w:bottom w:val="single" w:sz="4" w:space="0" w:color="auto"/>
              <w:right w:val="single" w:sz="4" w:space="0" w:color="auto"/>
            </w:tcBorders>
            <w:vAlign w:val="center"/>
          </w:tcPr>
          <w:p w:rsidR="00315D85" w:rsidRPr="00EC395F" w:rsidRDefault="00315D85" w:rsidP="005807BD">
            <w:pPr>
              <w:widowControl/>
              <w:rPr>
                <w:rFonts w:ascii="仿宋" w:eastAsia="仿宋" w:hAnsi="仿宋" w:cs="仿宋_GB2312"/>
                <w:kern w:val="0"/>
                <w:sz w:val="24"/>
                <w:szCs w:val="24"/>
              </w:rPr>
            </w:pPr>
            <w:r w:rsidRPr="00EC395F">
              <w:rPr>
                <w:rFonts w:ascii="仿宋" w:eastAsia="仿宋" w:hAnsi="仿宋" w:cs="仿宋_GB2312" w:hint="eastAsia"/>
                <w:kern w:val="0"/>
                <w:sz w:val="24"/>
                <w:szCs w:val="24"/>
              </w:rPr>
              <w:t>财政投入乘数=社会赞助资金总额/政府投入资金总额</w:t>
            </w: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此项指标以大于等于50%为满分，每下降1%，扣0.1分。</w:t>
            </w:r>
          </w:p>
        </w:tc>
      </w:tr>
      <w:tr w:rsidR="00315D85" w:rsidRPr="00EC395F" w:rsidTr="005807BD">
        <w:trPr>
          <w:trHeight w:val="600"/>
        </w:trPr>
        <w:tc>
          <w:tcPr>
            <w:tcW w:w="1155" w:type="dxa"/>
            <w:vMerge/>
            <w:tcBorders>
              <w:left w:val="single" w:sz="4" w:space="0" w:color="auto"/>
              <w:right w:val="single" w:sz="4" w:space="0" w:color="auto"/>
            </w:tcBorders>
            <w:vAlign w:val="center"/>
          </w:tcPr>
          <w:p w:rsidR="00315D85" w:rsidRPr="00EC395F" w:rsidRDefault="00315D85" w:rsidP="005807BD">
            <w:pPr>
              <w:jc w:val="left"/>
              <w:rPr>
                <w:rFonts w:ascii="仿宋" w:eastAsia="仿宋" w:hAnsi="仿宋" w:cs="仿宋_GB2312"/>
                <w:kern w:val="0"/>
                <w:sz w:val="24"/>
                <w:szCs w:val="24"/>
              </w:rPr>
            </w:pPr>
          </w:p>
        </w:tc>
        <w:tc>
          <w:tcPr>
            <w:tcW w:w="1079" w:type="dxa"/>
            <w:vMerge/>
            <w:tcBorders>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987"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rPr>
              <w:t>B</w:t>
            </w:r>
            <w:r w:rsidRPr="00EC395F">
              <w:rPr>
                <w:rFonts w:ascii="仿宋" w:eastAsia="仿宋" w:hAnsi="仿宋" w:cs="仿宋_GB2312" w:hint="eastAsia"/>
                <w:kern w:val="0"/>
                <w:sz w:val="24"/>
                <w:szCs w:val="24"/>
              </w:rPr>
              <w:t>13项目收益</w:t>
            </w:r>
            <w:r w:rsidRPr="00EC395F">
              <w:rPr>
                <w:rFonts w:ascii="仿宋" w:eastAsia="仿宋" w:hAnsi="仿宋" w:cs="仿宋_GB2312" w:hint="eastAsia"/>
                <w:kern w:val="0"/>
                <w:sz w:val="24"/>
                <w:szCs w:val="24"/>
              </w:rPr>
              <w:lastRenderedPageBreak/>
              <w:t>度</w:t>
            </w:r>
          </w:p>
        </w:tc>
        <w:tc>
          <w:tcPr>
            <w:tcW w:w="706" w:type="dxa"/>
            <w:tcBorders>
              <w:top w:val="nil"/>
              <w:left w:val="nil"/>
              <w:bottom w:val="single" w:sz="4" w:space="0" w:color="auto"/>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r>
              <w:rPr>
                <w:rFonts w:ascii="仿宋" w:eastAsia="仿宋" w:hAnsi="仿宋" w:cs="仿宋_GB2312" w:hint="eastAsia"/>
                <w:bCs/>
                <w:kern w:val="0"/>
                <w:sz w:val="24"/>
                <w:szCs w:val="24"/>
              </w:rPr>
              <w:lastRenderedPageBreak/>
              <w:t>6</w:t>
            </w:r>
          </w:p>
        </w:tc>
        <w:tc>
          <w:tcPr>
            <w:tcW w:w="4962" w:type="dxa"/>
            <w:tcBorders>
              <w:top w:val="nil"/>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r w:rsidRPr="00EC395F">
              <w:rPr>
                <w:rFonts w:ascii="仿宋" w:eastAsia="仿宋" w:hAnsi="仿宋" w:cs="仿宋_GB2312" w:hint="eastAsia"/>
                <w:kern w:val="0"/>
                <w:sz w:val="24"/>
                <w:szCs w:val="24"/>
              </w:rPr>
              <w:t>项目收益度=办赛总收入/办赛总支出</w:t>
            </w: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此项指标以大于等于100%为满分，每</w:t>
            </w:r>
            <w:r w:rsidRPr="00EC395F">
              <w:rPr>
                <w:rFonts w:ascii="仿宋" w:eastAsia="仿宋" w:hAnsi="仿宋" w:cs="仿宋_GB2312" w:hint="eastAsia"/>
                <w:kern w:val="0"/>
                <w:sz w:val="24"/>
                <w:szCs w:val="24"/>
              </w:rPr>
              <w:lastRenderedPageBreak/>
              <w:t>下降1%，扣0.0</w:t>
            </w:r>
            <w:r>
              <w:rPr>
                <w:rFonts w:ascii="仿宋" w:eastAsia="仿宋" w:hAnsi="仿宋" w:cs="仿宋_GB2312" w:hint="eastAsia"/>
                <w:kern w:val="0"/>
                <w:sz w:val="24"/>
                <w:szCs w:val="24"/>
              </w:rPr>
              <w:t>6</w:t>
            </w:r>
            <w:r w:rsidRPr="00EC395F">
              <w:rPr>
                <w:rFonts w:ascii="仿宋" w:eastAsia="仿宋" w:hAnsi="仿宋" w:cs="仿宋_GB2312" w:hint="eastAsia"/>
                <w:kern w:val="0"/>
                <w:sz w:val="24"/>
                <w:szCs w:val="24"/>
              </w:rPr>
              <w:t>分。</w:t>
            </w:r>
          </w:p>
        </w:tc>
      </w:tr>
      <w:tr w:rsidR="00315D85" w:rsidRPr="00EC395F" w:rsidTr="005807BD">
        <w:trPr>
          <w:trHeight w:val="600"/>
        </w:trPr>
        <w:tc>
          <w:tcPr>
            <w:tcW w:w="1155" w:type="dxa"/>
            <w:vMerge/>
            <w:tcBorders>
              <w:left w:val="single" w:sz="4" w:space="0" w:color="auto"/>
              <w:right w:val="single" w:sz="4" w:space="0" w:color="auto"/>
            </w:tcBorders>
            <w:vAlign w:val="center"/>
          </w:tcPr>
          <w:p w:rsidR="00315D85" w:rsidRPr="00EC395F" w:rsidRDefault="00315D85" w:rsidP="005807BD">
            <w:pPr>
              <w:jc w:val="left"/>
              <w:rPr>
                <w:rFonts w:ascii="仿宋" w:eastAsia="仿宋" w:hAnsi="仿宋" w:cs="仿宋_GB2312"/>
                <w:kern w:val="0"/>
                <w:sz w:val="24"/>
                <w:szCs w:val="24"/>
              </w:rPr>
            </w:pPr>
          </w:p>
        </w:tc>
        <w:tc>
          <w:tcPr>
            <w:tcW w:w="1079" w:type="dxa"/>
            <w:vMerge w:val="restart"/>
            <w:tcBorders>
              <w:top w:val="nil"/>
              <w:left w:val="nil"/>
              <w:right w:val="single" w:sz="4" w:space="0" w:color="auto"/>
            </w:tcBorders>
            <w:vAlign w:val="center"/>
          </w:tcPr>
          <w:p w:rsidR="00315D85" w:rsidRDefault="00315D85" w:rsidP="005807BD">
            <w:pPr>
              <w:widowControl/>
              <w:rPr>
                <w:rFonts w:ascii="仿宋" w:eastAsia="仿宋" w:hAnsi="仿宋" w:cs="仿宋_GB2312"/>
                <w:kern w:val="0"/>
                <w:sz w:val="24"/>
                <w:szCs w:val="24"/>
              </w:rPr>
            </w:pPr>
          </w:p>
          <w:p w:rsidR="00315D85" w:rsidRDefault="00315D85" w:rsidP="005807BD">
            <w:pPr>
              <w:widowControl/>
              <w:rPr>
                <w:rFonts w:ascii="仿宋" w:eastAsia="仿宋" w:hAnsi="仿宋" w:cs="仿宋_GB2312"/>
                <w:kern w:val="0"/>
                <w:sz w:val="24"/>
                <w:szCs w:val="24"/>
              </w:rPr>
            </w:pPr>
          </w:p>
          <w:p w:rsidR="00315D85" w:rsidRDefault="00315D85" w:rsidP="005807BD">
            <w:pPr>
              <w:widowControl/>
              <w:rPr>
                <w:rFonts w:ascii="仿宋" w:eastAsia="仿宋" w:hAnsi="仿宋" w:cs="仿宋_GB2312"/>
                <w:kern w:val="0"/>
                <w:sz w:val="24"/>
                <w:szCs w:val="24"/>
              </w:rPr>
            </w:pPr>
          </w:p>
          <w:p w:rsidR="00315D85" w:rsidRDefault="00315D85" w:rsidP="005807BD">
            <w:pPr>
              <w:widowControl/>
              <w:rPr>
                <w:rFonts w:ascii="仿宋" w:eastAsia="仿宋" w:hAnsi="仿宋" w:cs="仿宋_GB2312"/>
                <w:kern w:val="0"/>
                <w:sz w:val="24"/>
                <w:szCs w:val="24"/>
              </w:rPr>
            </w:pPr>
            <w:r>
              <w:rPr>
                <w:rFonts w:ascii="仿宋" w:eastAsia="仿宋" w:hAnsi="仿宋" w:cs="仿宋_GB2312" w:hint="eastAsia"/>
                <w:kern w:val="0"/>
                <w:sz w:val="24"/>
                <w:szCs w:val="24"/>
              </w:rPr>
              <w:t>B</w:t>
            </w:r>
            <w:r w:rsidRPr="00EC395F">
              <w:rPr>
                <w:rFonts w:ascii="仿宋" w:eastAsia="仿宋" w:hAnsi="仿宋" w:cs="仿宋_GB2312" w:hint="eastAsia"/>
                <w:kern w:val="0"/>
                <w:sz w:val="24"/>
                <w:szCs w:val="24"/>
              </w:rPr>
              <w:t>2 实施管理</w:t>
            </w:r>
          </w:p>
          <w:p w:rsidR="00315D85" w:rsidRDefault="00315D85" w:rsidP="005807BD">
            <w:pPr>
              <w:widowControl/>
              <w:rPr>
                <w:rFonts w:ascii="仿宋" w:eastAsia="仿宋" w:hAnsi="仿宋" w:cs="仿宋_GB2312"/>
                <w:kern w:val="0"/>
                <w:sz w:val="24"/>
                <w:szCs w:val="24"/>
              </w:rPr>
            </w:pPr>
          </w:p>
          <w:p w:rsidR="00315D85" w:rsidRDefault="00315D85" w:rsidP="005807BD">
            <w:pPr>
              <w:widowControl/>
              <w:rPr>
                <w:rFonts w:ascii="仿宋" w:eastAsia="仿宋" w:hAnsi="仿宋" w:cs="仿宋_GB2312"/>
                <w:kern w:val="0"/>
                <w:sz w:val="24"/>
                <w:szCs w:val="24"/>
              </w:rPr>
            </w:pPr>
          </w:p>
          <w:p w:rsidR="00315D85" w:rsidRDefault="00315D85" w:rsidP="005807BD">
            <w:pPr>
              <w:widowControl/>
              <w:rPr>
                <w:rFonts w:ascii="仿宋" w:eastAsia="仿宋" w:hAnsi="仿宋" w:cs="仿宋_GB2312"/>
                <w:kern w:val="0"/>
                <w:sz w:val="24"/>
                <w:szCs w:val="24"/>
              </w:rPr>
            </w:pPr>
          </w:p>
          <w:p w:rsidR="00315D85" w:rsidRDefault="00315D85" w:rsidP="005807BD">
            <w:pPr>
              <w:widowControl/>
              <w:rPr>
                <w:rFonts w:ascii="仿宋" w:eastAsia="仿宋" w:hAnsi="仿宋" w:cs="仿宋_GB2312"/>
                <w:kern w:val="0"/>
                <w:sz w:val="24"/>
                <w:szCs w:val="24"/>
              </w:rPr>
            </w:pPr>
            <w:r>
              <w:rPr>
                <w:rFonts w:ascii="仿宋" w:eastAsia="仿宋" w:hAnsi="仿宋" w:cs="仿宋_GB2312" w:hint="eastAsia"/>
                <w:kern w:val="0"/>
                <w:sz w:val="24"/>
                <w:szCs w:val="24"/>
              </w:rPr>
              <w:t>B</w:t>
            </w:r>
            <w:r w:rsidRPr="00EC395F">
              <w:rPr>
                <w:rFonts w:ascii="仿宋" w:eastAsia="仿宋" w:hAnsi="仿宋" w:cs="仿宋_GB2312" w:hint="eastAsia"/>
                <w:kern w:val="0"/>
                <w:sz w:val="24"/>
                <w:szCs w:val="24"/>
              </w:rPr>
              <w:t>2 实施管理</w:t>
            </w:r>
          </w:p>
          <w:p w:rsidR="00315D85" w:rsidRPr="00EC395F" w:rsidRDefault="00315D85" w:rsidP="005807BD">
            <w:pPr>
              <w:widowControl/>
              <w:rPr>
                <w:rFonts w:ascii="仿宋" w:eastAsia="仿宋" w:hAnsi="仿宋" w:cs="仿宋_GB2312"/>
                <w:kern w:val="0"/>
                <w:sz w:val="24"/>
                <w:szCs w:val="24"/>
              </w:rPr>
            </w:pPr>
          </w:p>
        </w:tc>
        <w:tc>
          <w:tcPr>
            <w:tcW w:w="1987" w:type="dxa"/>
            <w:vMerge w:val="restart"/>
            <w:tcBorders>
              <w:top w:val="nil"/>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b/>
                <w:kern w:val="0"/>
                <w:sz w:val="24"/>
                <w:szCs w:val="24"/>
              </w:rPr>
              <w:t>B</w:t>
            </w:r>
            <w:r w:rsidRPr="00EC395F">
              <w:rPr>
                <w:rFonts w:ascii="仿宋" w:eastAsia="仿宋" w:hAnsi="仿宋" w:cs="仿宋_GB2312" w:hint="eastAsia"/>
                <w:kern w:val="0"/>
                <w:sz w:val="24"/>
                <w:szCs w:val="24"/>
              </w:rPr>
              <w:t>21 管理制度健全性</w:t>
            </w:r>
          </w:p>
        </w:tc>
        <w:tc>
          <w:tcPr>
            <w:tcW w:w="706" w:type="dxa"/>
            <w:vMerge w:val="restart"/>
            <w:tcBorders>
              <w:top w:val="nil"/>
              <w:left w:val="nil"/>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r w:rsidRPr="007D0FC0">
              <w:rPr>
                <w:rFonts w:ascii="仿宋" w:eastAsia="仿宋" w:hAnsi="仿宋" w:cs="仿宋_GB2312" w:hint="eastAsia"/>
                <w:bCs/>
                <w:kern w:val="0"/>
                <w:sz w:val="24"/>
                <w:szCs w:val="24"/>
              </w:rPr>
              <w:t>6</w:t>
            </w:r>
          </w:p>
        </w:tc>
        <w:tc>
          <w:tcPr>
            <w:tcW w:w="4962" w:type="dxa"/>
            <w:vMerge w:val="restart"/>
            <w:tcBorders>
              <w:top w:val="nil"/>
              <w:left w:val="nil"/>
              <w:right w:val="single" w:sz="4" w:space="0" w:color="auto"/>
            </w:tcBorders>
            <w:vAlign w:val="center"/>
          </w:tcPr>
          <w:p w:rsidR="00315D85" w:rsidRPr="00EC395F" w:rsidRDefault="00315D85" w:rsidP="005807BD">
            <w:pPr>
              <w:widowControl/>
              <w:rPr>
                <w:rFonts w:ascii="仿宋" w:eastAsia="仿宋" w:hAnsi="仿宋" w:cs="仿宋_GB2312"/>
                <w:kern w:val="0"/>
                <w:sz w:val="24"/>
                <w:szCs w:val="24"/>
              </w:rPr>
            </w:pPr>
            <w:r w:rsidRPr="00EC395F">
              <w:rPr>
                <w:rFonts w:ascii="仿宋" w:eastAsia="仿宋" w:hAnsi="仿宋" w:cs="仿宋_GB2312" w:hint="eastAsia"/>
                <w:kern w:val="0"/>
                <w:sz w:val="24"/>
                <w:szCs w:val="24"/>
              </w:rPr>
              <w:t>考察是否有系统、科学的赛事方案，突发事件应急预案，赛事相关的人员、场地、设施和组织管理、后勤服务、安全保障等各项措施是否及时到位。</w:t>
            </w: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A、赛事方案、应急预案健全，赛事相关各项措施及时到位，不扣分；</w:t>
            </w:r>
          </w:p>
        </w:tc>
      </w:tr>
      <w:tr w:rsidR="00315D85" w:rsidRPr="00EC395F" w:rsidTr="005807BD">
        <w:trPr>
          <w:trHeight w:val="600"/>
        </w:trPr>
        <w:tc>
          <w:tcPr>
            <w:tcW w:w="1155" w:type="dxa"/>
            <w:vMerge/>
            <w:tcBorders>
              <w:left w:val="single" w:sz="4" w:space="0" w:color="auto"/>
              <w:right w:val="single" w:sz="4" w:space="0" w:color="auto"/>
            </w:tcBorders>
            <w:vAlign w:val="center"/>
          </w:tcPr>
          <w:p w:rsidR="00315D85" w:rsidRPr="00EC395F" w:rsidRDefault="00315D85" w:rsidP="005807BD">
            <w:pPr>
              <w:jc w:val="left"/>
              <w:rPr>
                <w:rFonts w:ascii="仿宋" w:eastAsia="仿宋" w:hAnsi="仿宋" w:cs="仿宋_GB2312"/>
                <w:kern w:val="0"/>
                <w:sz w:val="24"/>
                <w:szCs w:val="24"/>
              </w:rPr>
            </w:pPr>
          </w:p>
        </w:tc>
        <w:tc>
          <w:tcPr>
            <w:tcW w:w="1079" w:type="dxa"/>
            <w:vMerge/>
            <w:tcBorders>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987" w:type="dxa"/>
            <w:vMerge/>
            <w:tcBorders>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706" w:type="dxa"/>
            <w:vMerge/>
            <w:tcBorders>
              <w:left w:val="nil"/>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p>
        </w:tc>
        <w:tc>
          <w:tcPr>
            <w:tcW w:w="4962" w:type="dxa"/>
            <w:vMerge/>
            <w:tcBorders>
              <w:left w:val="nil"/>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B、赛事方案、应急预案缺失一项或赛事相关规则措施缺少1项，扣3分；</w:t>
            </w:r>
          </w:p>
        </w:tc>
      </w:tr>
      <w:tr w:rsidR="00315D85" w:rsidRPr="00EC395F" w:rsidTr="005807BD">
        <w:trPr>
          <w:trHeight w:val="966"/>
        </w:trPr>
        <w:tc>
          <w:tcPr>
            <w:tcW w:w="1155" w:type="dxa"/>
            <w:vMerge/>
            <w:tcBorders>
              <w:left w:val="single" w:sz="4" w:space="0" w:color="auto"/>
              <w:bottom w:val="single" w:sz="4" w:space="0" w:color="auto"/>
              <w:right w:val="single" w:sz="4" w:space="0" w:color="auto"/>
            </w:tcBorders>
            <w:vAlign w:val="center"/>
          </w:tcPr>
          <w:p w:rsidR="00315D85" w:rsidRPr="00EC395F" w:rsidRDefault="00315D85" w:rsidP="005807BD">
            <w:pPr>
              <w:jc w:val="left"/>
              <w:rPr>
                <w:rFonts w:ascii="仿宋" w:eastAsia="仿宋" w:hAnsi="仿宋" w:cs="仿宋_GB2312"/>
                <w:kern w:val="0"/>
                <w:sz w:val="24"/>
                <w:szCs w:val="24"/>
              </w:rPr>
            </w:pPr>
          </w:p>
        </w:tc>
        <w:tc>
          <w:tcPr>
            <w:tcW w:w="1079" w:type="dxa"/>
            <w:vMerge/>
            <w:tcBorders>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987" w:type="dxa"/>
            <w:vMerge/>
            <w:tcBorders>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706" w:type="dxa"/>
            <w:vMerge/>
            <w:tcBorders>
              <w:left w:val="nil"/>
              <w:bottom w:val="single" w:sz="4" w:space="0" w:color="auto"/>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p>
        </w:tc>
        <w:tc>
          <w:tcPr>
            <w:tcW w:w="4962" w:type="dxa"/>
            <w:vMerge/>
            <w:tcBorders>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C、赛事方案、应急预案均缺失或赛事相关规则措施缺少大于1项，扣6分。</w:t>
            </w:r>
          </w:p>
        </w:tc>
      </w:tr>
      <w:tr w:rsidR="00315D85" w:rsidRPr="00EC395F" w:rsidTr="005807BD">
        <w:trPr>
          <w:trHeight w:val="600"/>
        </w:trPr>
        <w:tc>
          <w:tcPr>
            <w:tcW w:w="1155" w:type="dxa"/>
            <w:vMerge/>
            <w:tcBorders>
              <w:top w:val="single" w:sz="4" w:space="0" w:color="auto"/>
              <w:left w:val="single" w:sz="4" w:space="0" w:color="auto"/>
              <w:right w:val="single" w:sz="4" w:space="0" w:color="auto"/>
            </w:tcBorders>
            <w:vAlign w:val="center"/>
          </w:tcPr>
          <w:p w:rsidR="00315D85" w:rsidRPr="00EC395F" w:rsidRDefault="00315D85" w:rsidP="005807BD">
            <w:pPr>
              <w:jc w:val="left"/>
              <w:rPr>
                <w:rFonts w:ascii="仿宋" w:eastAsia="仿宋" w:hAnsi="仿宋" w:cs="仿宋_GB2312"/>
                <w:kern w:val="0"/>
                <w:sz w:val="24"/>
                <w:szCs w:val="24"/>
              </w:rPr>
            </w:pPr>
          </w:p>
        </w:tc>
        <w:tc>
          <w:tcPr>
            <w:tcW w:w="1079" w:type="dxa"/>
            <w:vMerge/>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987" w:type="dxa"/>
            <w:vMerge w:val="restart"/>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rPr>
              <w:t>B</w:t>
            </w:r>
            <w:r w:rsidRPr="00EC395F">
              <w:rPr>
                <w:rFonts w:ascii="仿宋" w:eastAsia="仿宋" w:hAnsi="仿宋" w:cs="仿宋_GB2312" w:hint="eastAsia"/>
                <w:kern w:val="0"/>
                <w:sz w:val="24"/>
                <w:szCs w:val="24"/>
              </w:rPr>
              <w:t>2</w:t>
            </w:r>
            <w:r>
              <w:rPr>
                <w:rFonts w:ascii="仿宋" w:eastAsia="仿宋" w:hAnsi="仿宋" w:cs="仿宋_GB2312" w:hint="eastAsia"/>
                <w:kern w:val="0"/>
                <w:sz w:val="24"/>
                <w:szCs w:val="24"/>
              </w:rPr>
              <w:t>2</w:t>
            </w:r>
            <w:r w:rsidRPr="00EC395F">
              <w:rPr>
                <w:rFonts w:ascii="仿宋" w:eastAsia="仿宋" w:hAnsi="仿宋" w:cs="仿宋_GB2312" w:hint="eastAsia"/>
                <w:kern w:val="0"/>
                <w:sz w:val="24"/>
                <w:szCs w:val="24"/>
              </w:rPr>
              <w:t xml:space="preserve"> 社会化运作模式</w:t>
            </w:r>
          </w:p>
        </w:tc>
        <w:tc>
          <w:tcPr>
            <w:tcW w:w="706" w:type="dxa"/>
            <w:vMerge w:val="restart"/>
            <w:tcBorders>
              <w:top w:val="single" w:sz="4" w:space="0" w:color="auto"/>
              <w:left w:val="nil"/>
              <w:bottom w:val="single" w:sz="4" w:space="0" w:color="auto"/>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r>
              <w:rPr>
                <w:rFonts w:ascii="仿宋" w:eastAsia="仿宋" w:hAnsi="仿宋" w:cs="仿宋_GB2312" w:hint="eastAsia"/>
                <w:bCs/>
                <w:kern w:val="0"/>
                <w:sz w:val="24"/>
                <w:szCs w:val="24"/>
              </w:rPr>
              <w:t>6</w:t>
            </w:r>
          </w:p>
        </w:tc>
        <w:tc>
          <w:tcPr>
            <w:tcW w:w="4962" w:type="dxa"/>
            <w:vMerge w:val="restart"/>
            <w:tcBorders>
              <w:top w:val="single" w:sz="4" w:space="0" w:color="auto"/>
              <w:left w:val="nil"/>
              <w:bottom w:val="single" w:sz="4" w:space="0" w:color="auto"/>
              <w:right w:val="single" w:sz="4" w:space="0" w:color="auto"/>
            </w:tcBorders>
            <w:vAlign w:val="center"/>
          </w:tcPr>
          <w:p w:rsidR="00315D85" w:rsidRPr="00EC395F" w:rsidRDefault="00315D85" w:rsidP="005807BD">
            <w:pPr>
              <w:widowControl/>
              <w:rPr>
                <w:rFonts w:ascii="仿宋" w:eastAsia="仿宋" w:hAnsi="仿宋" w:cs="仿宋_GB2312"/>
                <w:kern w:val="0"/>
                <w:sz w:val="24"/>
                <w:szCs w:val="24"/>
              </w:rPr>
            </w:pPr>
            <w:r w:rsidRPr="00EC395F">
              <w:rPr>
                <w:rFonts w:ascii="仿宋" w:eastAsia="仿宋" w:hAnsi="仿宋" w:cs="仿宋_GB2312" w:hint="eastAsia"/>
                <w:kern w:val="0"/>
                <w:sz w:val="24"/>
                <w:szCs w:val="24"/>
              </w:rPr>
              <w:t>考察办赛过程中引进企业赞助合作和招募中介组织参与比赛运作情况。</w:t>
            </w:r>
          </w:p>
        </w:tc>
        <w:tc>
          <w:tcPr>
            <w:tcW w:w="4285"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A、总体办赛过程中缺失赞助企业扣</w:t>
            </w:r>
            <w:r>
              <w:rPr>
                <w:rFonts w:ascii="仿宋" w:eastAsia="仿宋" w:hAnsi="仿宋" w:cs="仿宋_GB2312" w:hint="eastAsia"/>
                <w:kern w:val="0"/>
                <w:sz w:val="24"/>
                <w:szCs w:val="24"/>
              </w:rPr>
              <w:t>4</w:t>
            </w:r>
            <w:r w:rsidRPr="00EC395F">
              <w:rPr>
                <w:rFonts w:ascii="仿宋" w:eastAsia="仿宋" w:hAnsi="仿宋" w:cs="仿宋_GB2312" w:hint="eastAsia"/>
                <w:kern w:val="0"/>
                <w:sz w:val="24"/>
                <w:szCs w:val="24"/>
              </w:rPr>
              <w:t>分、缺失办赛中介组织扣</w:t>
            </w:r>
            <w:r>
              <w:rPr>
                <w:rFonts w:ascii="仿宋" w:eastAsia="仿宋" w:hAnsi="仿宋" w:cs="仿宋_GB2312" w:hint="eastAsia"/>
                <w:kern w:val="0"/>
                <w:sz w:val="24"/>
                <w:szCs w:val="24"/>
              </w:rPr>
              <w:t>2</w:t>
            </w:r>
            <w:r w:rsidRPr="00EC395F">
              <w:rPr>
                <w:rFonts w:ascii="仿宋" w:eastAsia="仿宋" w:hAnsi="仿宋" w:cs="仿宋_GB2312" w:hint="eastAsia"/>
                <w:kern w:val="0"/>
                <w:sz w:val="24"/>
                <w:szCs w:val="24"/>
              </w:rPr>
              <w:t>分；</w:t>
            </w:r>
          </w:p>
        </w:tc>
      </w:tr>
      <w:tr w:rsidR="00315D85" w:rsidRPr="00EC395F" w:rsidTr="005807BD">
        <w:trPr>
          <w:trHeight w:val="600"/>
        </w:trPr>
        <w:tc>
          <w:tcPr>
            <w:tcW w:w="1155" w:type="dxa"/>
            <w:vMerge/>
            <w:tcBorders>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079" w:type="dxa"/>
            <w:vMerge/>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987" w:type="dxa"/>
            <w:vMerge/>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706" w:type="dxa"/>
            <w:vMerge/>
            <w:tcBorders>
              <w:top w:val="single" w:sz="4" w:space="0" w:color="auto"/>
              <w:left w:val="nil"/>
              <w:bottom w:val="single" w:sz="4" w:space="0" w:color="auto"/>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p>
        </w:tc>
        <w:tc>
          <w:tcPr>
            <w:tcW w:w="4962" w:type="dxa"/>
            <w:vMerge/>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p>
        </w:tc>
        <w:tc>
          <w:tcPr>
            <w:tcW w:w="4285" w:type="dxa"/>
            <w:tcBorders>
              <w:top w:val="single" w:sz="4" w:space="0" w:color="auto"/>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B</w:t>
            </w:r>
            <w:r>
              <w:rPr>
                <w:rFonts w:ascii="仿宋" w:eastAsia="仿宋" w:hAnsi="仿宋" w:cs="仿宋_GB2312" w:hint="eastAsia"/>
                <w:kern w:val="0"/>
                <w:sz w:val="24"/>
                <w:szCs w:val="24"/>
              </w:rPr>
              <w:t>、正式项目</w:t>
            </w:r>
            <w:r w:rsidRPr="00EC395F">
              <w:rPr>
                <w:rFonts w:ascii="仿宋" w:eastAsia="仿宋" w:hAnsi="仿宋" w:cs="仿宋_GB2312" w:hint="eastAsia"/>
                <w:kern w:val="0"/>
                <w:sz w:val="24"/>
                <w:szCs w:val="24"/>
              </w:rPr>
              <w:t>企业或中介组织参与举办的赛事数量大于等于60%为满分，每下降1%，扣0.1分。</w:t>
            </w:r>
          </w:p>
        </w:tc>
      </w:tr>
      <w:tr w:rsidR="00315D85" w:rsidRPr="00EC395F" w:rsidTr="005807BD">
        <w:trPr>
          <w:trHeight w:val="600"/>
        </w:trPr>
        <w:tc>
          <w:tcPr>
            <w:tcW w:w="1155" w:type="dxa"/>
            <w:vMerge/>
            <w:tcBorders>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079" w:type="dxa"/>
            <w:vMerge w:val="restart"/>
            <w:tcBorders>
              <w:top w:val="nil"/>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B</w:t>
            </w:r>
            <w:r w:rsidRPr="00EC395F">
              <w:rPr>
                <w:rFonts w:ascii="仿宋" w:eastAsia="仿宋" w:hAnsi="仿宋" w:cs="仿宋_GB2312" w:hint="eastAsia"/>
                <w:kern w:val="0"/>
                <w:sz w:val="24"/>
                <w:szCs w:val="24"/>
              </w:rPr>
              <w:t>3 财</w:t>
            </w:r>
            <w:r w:rsidRPr="00EC395F">
              <w:rPr>
                <w:rFonts w:ascii="仿宋" w:eastAsia="仿宋" w:hAnsi="仿宋" w:cs="仿宋_GB2312" w:hint="eastAsia"/>
                <w:kern w:val="0"/>
                <w:sz w:val="24"/>
                <w:szCs w:val="24"/>
              </w:rPr>
              <w:lastRenderedPageBreak/>
              <w:t>务管理</w:t>
            </w:r>
          </w:p>
        </w:tc>
        <w:tc>
          <w:tcPr>
            <w:tcW w:w="1987" w:type="dxa"/>
            <w:vMerge w:val="restart"/>
            <w:tcBorders>
              <w:top w:val="nil"/>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lastRenderedPageBreak/>
              <w:t xml:space="preserve"> </w:t>
            </w:r>
            <w:r>
              <w:rPr>
                <w:rFonts w:ascii="仿宋" w:eastAsia="仿宋" w:hAnsi="仿宋" w:cs="仿宋_GB2312" w:hint="eastAsia"/>
                <w:kern w:val="0"/>
                <w:sz w:val="24"/>
                <w:szCs w:val="24"/>
              </w:rPr>
              <w:t>B</w:t>
            </w:r>
            <w:r w:rsidRPr="00EC395F">
              <w:rPr>
                <w:rFonts w:ascii="仿宋" w:eastAsia="仿宋" w:hAnsi="仿宋" w:cs="仿宋_GB2312" w:hint="eastAsia"/>
                <w:kern w:val="0"/>
                <w:sz w:val="24"/>
                <w:szCs w:val="24"/>
              </w:rPr>
              <w:t>31 财务管理</w:t>
            </w:r>
            <w:r w:rsidRPr="00EC395F">
              <w:rPr>
                <w:rFonts w:ascii="仿宋" w:eastAsia="仿宋" w:hAnsi="仿宋" w:cs="仿宋_GB2312" w:hint="eastAsia"/>
                <w:kern w:val="0"/>
                <w:sz w:val="24"/>
                <w:szCs w:val="24"/>
              </w:rPr>
              <w:lastRenderedPageBreak/>
              <w:t>制度健全性</w:t>
            </w:r>
          </w:p>
        </w:tc>
        <w:tc>
          <w:tcPr>
            <w:tcW w:w="706" w:type="dxa"/>
            <w:vMerge w:val="restart"/>
            <w:tcBorders>
              <w:top w:val="nil"/>
              <w:left w:val="nil"/>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r w:rsidRPr="007D0FC0">
              <w:rPr>
                <w:rFonts w:ascii="仿宋" w:eastAsia="仿宋" w:hAnsi="仿宋" w:cs="仿宋_GB2312" w:hint="eastAsia"/>
                <w:bCs/>
                <w:kern w:val="0"/>
                <w:sz w:val="24"/>
                <w:szCs w:val="24"/>
              </w:rPr>
              <w:lastRenderedPageBreak/>
              <w:t>6</w:t>
            </w:r>
          </w:p>
        </w:tc>
        <w:tc>
          <w:tcPr>
            <w:tcW w:w="4962" w:type="dxa"/>
            <w:vMerge w:val="restart"/>
            <w:tcBorders>
              <w:top w:val="nil"/>
              <w:left w:val="nil"/>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r w:rsidRPr="00EC395F">
              <w:rPr>
                <w:rFonts w:ascii="仿宋" w:eastAsia="仿宋" w:hAnsi="仿宋" w:cs="仿宋_GB2312" w:hint="eastAsia"/>
                <w:kern w:val="0"/>
                <w:sz w:val="24"/>
                <w:szCs w:val="24"/>
              </w:rPr>
              <w:t>反映财务管理制度建设情况，是否有财务人员</w:t>
            </w:r>
            <w:r w:rsidRPr="00EC395F">
              <w:rPr>
                <w:rFonts w:ascii="仿宋" w:eastAsia="仿宋" w:hAnsi="仿宋" w:cs="仿宋_GB2312" w:hint="eastAsia"/>
                <w:kern w:val="0"/>
                <w:sz w:val="24"/>
                <w:szCs w:val="24"/>
              </w:rPr>
              <w:lastRenderedPageBreak/>
              <w:t>管理、资金审核报销、财务内部控制制度等。</w:t>
            </w: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lastRenderedPageBreak/>
              <w:t>A、财务管理制度完善，不扣分；</w:t>
            </w:r>
          </w:p>
        </w:tc>
      </w:tr>
      <w:tr w:rsidR="00315D85" w:rsidRPr="00EC395F" w:rsidTr="005807BD">
        <w:trPr>
          <w:trHeight w:val="600"/>
        </w:trPr>
        <w:tc>
          <w:tcPr>
            <w:tcW w:w="1155" w:type="dxa"/>
            <w:vMerge/>
            <w:tcBorders>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079" w:type="dxa"/>
            <w:vMerge/>
            <w:tcBorders>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987" w:type="dxa"/>
            <w:vMerge/>
            <w:tcBorders>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706" w:type="dxa"/>
            <w:vMerge/>
            <w:tcBorders>
              <w:left w:val="nil"/>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p>
        </w:tc>
        <w:tc>
          <w:tcPr>
            <w:tcW w:w="4962" w:type="dxa"/>
            <w:vMerge/>
            <w:tcBorders>
              <w:left w:val="nil"/>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B、财务管理制度缺失1项，扣2分；</w:t>
            </w:r>
          </w:p>
        </w:tc>
      </w:tr>
      <w:tr w:rsidR="00315D85" w:rsidRPr="00EC395F" w:rsidTr="005807BD">
        <w:trPr>
          <w:trHeight w:val="600"/>
        </w:trPr>
        <w:tc>
          <w:tcPr>
            <w:tcW w:w="1155" w:type="dxa"/>
            <w:vMerge/>
            <w:tcBorders>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079" w:type="dxa"/>
            <w:vMerge/>
            <w:tcBorders>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987" w:type="dxa"/>
            <w:vMerge/>
            <w:tcBorders>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706" w:type="dxa"/>
            <w:vMerge/>
            <w:tcBorders>
              <w:left w:val="nil"/>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p>
        </w:tc>
        <w:tc>
          <w:tcPr>
            <w:tcW w:w="4962" w:type="dxa"/>
            <w:vMerge/>
            <w:tcBorders>
              <w:left w:val="nil"/>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C、财务管理制度缺失2项，扣4分；</w:t>
            </w:r>
          </w:p>
        </w:tc>
      </w:tr>
      <w:tr w:rsidR="00315D85" w:rsidRPr="00EC395F" w:rsidTr="005807BD">
        <w:trPr>
          <w:trHeight w:val="600"/>
        </w:trPr>
        <w:tc>
          <w:tcPr>
            <w:tcW w:w="1155" w:type="dxa"/>
            <w:vMerge/>
            <w:tcBorders>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079" w:type="dxa"/>
            <w:vMerge/>
            <w:tcBorders>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987" w:type="dxa"/>
            <w:vMerge/>
            <w:tcBorders>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706" w:type="dxa"/>
            <w:vMerge/>
            <w:tcBorders>
              <w:left w:val="nil"/>
              <w:bottom w:val="single" w:sz="4" w:space="0" w:color="auto"/>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p>
        </w:tc>
        <w:tc>
          <w:tcPr>
            <w:tcW w:w="4962" w:type="dxa"/>
            <w:vMerge/>
            <w:tcBorders>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D、财务管理制度缺失3项，扣6分。</w:t>
            </w:r>
          </w:p>
        </w:tc>
      </w:tr>
      <w:tr w:rsidR="00315D85" w:rsidRPr="00EC395F" w:rsidTr="005807BD">
        <w:trPr>
          <w:trHeight w:val="600"/>
        </w:trPr>
        <w:tc>
          <w:tcPr>
            <w:tcW w:w="1155" w:type="dxa"/>
            <w:vMerge/>
            <w:tcBorders>
              <w:left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079" w:type="dxa"/>
            <w:vMerge/>
            <w:tcBorders>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987" w:type="dxa"/>
            <w:vMerge w:val="restart"/>
            <w:tcBorders>
              <w:top w:val="nil"/>
              <w:left w:val="nil"/>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rPr>
              <w:t>B</w:t>
            </w:r>
            <w:r w:rsidRPr="00EC395F">
              <w:rPr>
                <w:rFonts w:ascii="仿宋" w:eastAsia="仿宋" w:hAnsi="仿宋" w:cs="仿宋_GB2312" w:hint="eastAsia"/>
                <w:kern w:val="0"/>
                <w:sz w:val="24"/>
                <w:szCs w:val="24"/>
              </w:rPr>
              <w:t>32 资金使用合</w:t>
            </w:r>
            <w:proofErr w:type="gramStart"/>
            <w:r w:rsidRPr="00EC395F">
              <w:rPr>
                <w:rFonts w:ascii="仿宋" w:eastAsia="仿宋" w:hAnsi="仿宋" w:cs="仿宋_GB2312" w:hint="eastAsia"/>
                <w:kern w:val="0"/>
                <w:sz w:val="24"/>
                <w:szCs w:val="24"/>
              </w:rPr>
              <w:t>规</w:t>
            </w:r>
            <w:proofErr w:type="gramEnd"/>
            <w:r w:rsidRPr="00EC395F">
              <w:rPr>
                <w:rFonts w:ascii="仿宋" w:eastAsia="仿宋" w:hAnsi="仿宋" w:cs="仿宋_GB2312" w:hint="eastAsia"/>
                <w:kern w:val="0"/>
                <w:sz w:val="24"/>
                <w:szCs w:val="24"/>
              </w:rPr>
              <w:t>性</w:t>
            </w:r>
          </w:p>
        </w:tc>
        <w:tc>
          <w:tcPr>
            <w:tcW w:w="706" w:type="dxa"/>
            <w:vMerge w:val="restart"/>
            <w:tcBorders>
              <w:top w:val="nil"/>
              <w:left w:val="nil"/>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r>
              <w:rPr>
                <w:rFonts w:ascii="仿宋" w:eastAsia="仿宋" w:hAnsi="仿宋" w:cs="仿宋_GB2312" w:hint="eastAsia"/>
                <w:bCs/>
                <w:kern w:val="0"/>
                <w:sz w:val="24"/>
                <w:szCs w:val="24"/>
              </w:rPr>
              <w:t>5</w:t>
            </w:r>
          </w:p>
        </w:tc>
        <w:tc>
          <w:tcPr>
            <w:tcW w:w="4962" w:type="dxa"/>
            <w:vMerge w:val="restart"/>
            <w:tcBorders>
              <w:top w:val="nil"/>
              <w:left w:val="nil"/>
              <w:right w:val="single" w:sz="4" w:space="0" w:color="auto"/>
            </w:tcBorders>
            <w:vAlign w:val="center"/>
          </w:tcPr>
          <w:p w:rsidR="00315D85" w:rsidRPr="00EC395F" w:rsidRDefault="00315D85" w:rsidP="005807BD">
            <w:pPr>
              <w:widowControl/>
              <w:rPr>
                <w:rFonts w:ascii="仿宋" w:eastAsia="仿宋" w:hAnsi="仿宋" w:cs="仿宋_GB2312"/>
                <w:kern w:val="0"/>
                <w:sz w:val="24"/>
                <w:szCs w:val="24"/>
              </w:rPr>
            </w:pPr>
            <w:r w:rsidRPr="00EC395F">
              <w:rPr>
                <w:rFonts w:ascii="仿宋" w:eastAsia="仿宋" w:hAnsi="仿宋" w:cs="仿宋_GB2312" w:hint="eastAsia"/>
                <w:kern w:val="0"/>
                <w:sz w:val="24"/>
                <w:szCs w:val="24"/>
              </w:rPr>
              <w:t>检查资金使用的合</w:t>
            </w:r>
            <w:proofErr w:type="gramStart"/>
            <w:r w:rsidRPr="00EC395F">
              <w:rPr>
                <w:rFonts w:ascii="仿宋" w:eastAsia="仿宋" w:hAnsi="仿宋" w:cs="仿宋_GB2312" w:hint="eastAsia"/>
                <w:kern w:val="0"/>
                <w:sz w:val="24"/>
                <w:szCs w:val="24"/>
              </w:rPr>
              <w:t>规</w:t>
            </w:r>
            <w:proofErr w:type="gramEnd"/>
            <w:r w:rsidRPr="00EC395F">
              <w:rPr>
                <w:rFonts w:ascii="仿宋" w:eastAsia="仿宋" w:hAnsi="仿宋" w:cs="仿宋_GB2312" w:hint="eastAsia"/>
                <w:kern w:val="0"/>
                <w:sz w:val="24"/>
                <w:szCs w:val="24"/>
              </w:rPr>
              <w:t>性，即</w:t>
            </w:r>
            <w:r>
              <w:rPr>
                <w:rFonts w:ascii="仿宋" w:eastAsia="仿宋" w:hAnsi="仿宋" w:cs="仿宋_GB2312" w:hint="eastAsia"/>
                <w:kern w:val="0"/>
                <w:sz w:val="24"/>
                <w:szCs w:val="24"/>
              </w:rPr>
              <w:t>政府投入</w:t>
            </w:r>
            <w:r w:rsidRPr="00EC395F">
              <w:rPr>
                <w:rFonts w:ascii="仿宋" w:eastAsia="仿宋" w:hAnsi="仿宋" w:cs="仿宋_GB2312" w:hint="eastAsia"/>
                <w:kern w:val="0"/>
                <w:sz w:val="24"/>
                <w:szCs w:val="24"/>
              </w:rPr>
              <w:t>资金是否使用在和大联赛相关的事项上。</w:t>
            </w: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A、资金使用合</w:t>
            </w:r>
            <w:proofErr w:type="gramStart"/>
            <w:r w:rsidRPr="00EC395F">
              <w:rPr>
                <w:rFonts w:ascii="仿宋" w:eastAsia="仿宋" w:hAnsi="仿宋" w:cs="仿宋_GB2312" w:hint="eastAsia"/>
                <w:kern w:val="0"/>
                <w:sz w:val="24"/>
                <w:szCs w:val="24"/>
              </w:rPr>
              <w:t>规</w:t>
            </w:r>
            <w:proofErr w:type="gramEnd"/>
            <w:r w:rsidRPr="00EC395F">
              <w:rPr>
                <w:rFonts w:ascii="仿宋" w:eastAsia="仿宋" w:hAnsi="仿宋" w:cs="仿宋_GB2312" w:hint="eastAsia"/>
                <w:kern w:val="0"/>
                <w:sz w:val="24"/>
                <w:szCs w:val="24"/>
              </w:rPr>
              <w:t>，不扣分；</w:t>
            </w:r>
          </w:p>
        </w:tc>
      </w:tr>
      <w:tr w:rsidR="00315D85" w:rsidRPr="00EC395F" w:rsidTr="005807BD">
        <w:trPr>
          <w:trHeight w:val="600"/>
        </w:trPr>
        <w:tc>
          <w:tcPr>
            <w:tcW w:w="1155" w:type="dxa"/>
            <w:vMerge/>
            <w:tcBorders>
              <w:left w:val="single" w:sz="4" w:space="0" w:color="auto"/>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079" w:type="dxa"/>
            <w:vMerge/>
            <w:tcBorders>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1987" w:type="dxa"/>
            <w:vMerge/>
            <w:tcBorders>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p>
        </w:tc>
        <w:tc>
          <w:tcPr>
            <w:tcW w:w="706" w:type="dxa"/>
            <w:vMerge/>
            <w:tcBorders>
              <w:left w:val="nil"/>
              <w:bottom w:val="single" w:sz="4" w:space="0" w:color="auto"/>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p>
        </w:tc>
        <w:tc>
          <w:tcPr>
            <w:tcW w:w="4962" w:type="dxa"/>
            <w:vMerge/>
            <w:tcBorders>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B、资金使用不合</w:t>
            </w:r>
            <w:proofErr w:type="gramStart"/>
            <w:r w:rsidRPr="00EC395F">
              <w:rPr>
                <w:rFonts w:ascii="仿宋" w:eastAsia="仿宋" w:hAnsi="仿宋" w:cs="仿宋_GB2312" w:hint="eastAsia"/>
                <w:kern w:val="0"/>
                <w:sz w:val="24"/>
                <w:szCs w:val="24"/>
              </w:rPr>
              <w:t>规</w:t>
            </w:r>
            <w:proofErr w:type="gramEnd"/>
            <w:r w:rsidRPr="00EC395F">
              <w:rPr>
                <w:rFonts w:ascii="仿宋" w:eastAsia="仿宋" w:hAnsi="仿宋" w:cs="仿宋_GB2312" w:hint="eastAsia"/>
                <w:kern w:val="0"/>
                <w:sz w:val="24"/>
                <w:szCs w:val="24"/>
              </w:rPr>
              <w:t>，扣</w:t>
            </w:r>
            <w:r>
              <w:rPr>
                <w:rFonts w:ascii="仿宋" w:eastAsia="仿宋" w:hAnsi="仿宋" w:cs="仿宋_GB2312" w:hint="eastAsia"/>
                <w:kern w:val="0"/>
                <w:sz w:val="24"/>
                <w:szCs w:val="24"/>
              </w:rPr>
              <w:t>5</w:t>
            </w:r>
            <w:r w:rsidRPr="00EC395F">
              <w:rPr>
                <w:rFonts w:ascii="仿宋" w:eastAsia="仿宋" w:hAnsi="仿宋" w:cs="仿宋_GB2312" w:hint="eastAsia"/>
                <w:kern w:val="0"/>
                <w:sz w:val="24"/>
                <w:szCs w:val="24"/>
              </w:rPr>
              <w:t>分。</w:t>
            </w:r>
          </w:p>
        </w:tc>
      </w:tr>
      <w:tr w:rsidR="00315D85" w:rsidRPr="00EC395F" w:rsidTr="005807BD">
        <w:trPr>
          <w:trHeight w:val="600"/>
        </w:trPr>
        <w:tc>
          <w:tcPr>
            <w:tcW w:w="4221" w:type="dxa"/>
            <w:gridSpan w:val="3"/>
            <w:tcBorders>
              <w:top w:val="nil"/>
              <w:left w:val="single" w:sz="4" w:space="0" w:color="auto"/>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r w:rsidRPr="00EC395F">
              <w:rPr>
                <w:rFonts w:ascii="仿宋" w:eastAsia="仿宋" w:hAnsi="仿宋" w:cs="仿宋_GB2312" w:hint="eastAsia"/>
                <w:kern w:val="0"/>
                <w:sz w:val="24"/>
                <w:szCs w:val="24"/>
              </w:rPr>
              <w:t>绩效总分</w:t>
            </w:r>
          </w:p>
        </w:tc>
        <w:tc>
          <w:tcPr>
            <w:tcW w:w="706" w:type="dxa"/>
            <w:tcBorders>
              <w:top w:val="nil"/>
              <w:left w:val="nil"/>
              <w:bottom w:val="single" w:sz="4" w:space="0" w:color="auto"/>
              <w:right w:val="single" w:sz="4" w:space="0" w:color="auto"/>
            </w:tcBorders>
            <w:vAlign w:val="center"/>
          </w:tcPr>
          <w:p w:rsidR="00315D85" w:rsidRPr="007D0FC0" w:rsidRDefault="00315D85" w:rsidP="005807BD">
            <w:pPr>
              <w:widowControl/>
              <w:jc w:val="center"/>
              <w:rPr>
                <w:rFonts w:ascii="仿宋" w:eastAsia="仿宋" w:hAnsi="仿宋" w:cs="仿宋_GB2312"/>
                <w:bCs/>
                <w:kern w:val="0"/>
                <w:sz w:val="24"/>
                <w:szCs w:val="24"/>
              </w:rPr>
            </w:pPr>
            <w:r w:rsidRPr="007D0FC0">
              <w:rPr>
                <w:rFonts w:ascii="仿宋" w:eastAsia="仿宋" w:hAnsi="仿宋" w:cs="仿宋_GB2312" w:hint="eastAsia"/>
                <w:bCs/>
                <w:kern w:val="0"/>
                <w:sz w:val="24"/>
                <w:szCs w:val="24"/>
              </w:rPr>
              <w:t>100</w:t>
            </w:r>
          </w:p>
        </w:tc>
        <w:tc>
          <w:tcPr>
            <w:tcW w:w="4962" w:type="dxa"/>
            <w:tcBorders>
              <w:top w:val="nil"/>
              <w:left w:val="nil"/>
              <w:bottom w:val="single" w:sz="4" w:space="0" w:color="auto"/>
              <w:right w:val="single" w:sz="4" w:space="0" w:color="auto"/>
            </w:tcBorders>
            <w:vAlign w:val="center"/>
          </w:tcPr>
          <w:p w:rsidR="00315D85" w:rsidRPr="00EC395F" w:rsidRDefault="00315D85" w:rsidP="005807BD">
            <w:pPr>
              <w:widowControl/>
              <w:jc w:val="center"/>
              <w:rPr>
                <w:rFonts w:ascii="仿宋" w:eastAsia="仿宋" w:hAnsi="仿宋" w:cs="仿宋_GB2312"/>
                <w:kern w:val="0"/>
                <w:sz w:val="24"/>
                <w:szCs w:val="24"/>
              </w:rPr>
            </w:pPr>
            <w:r w:rsidRPr="00EC395F">
              <w:rPr>
                <w:rFonts w:ascii="仿宋" w:eastAsia="仿宋" w:hAnsi="仿宋" w:cs="仿宋_GB2312" w:hint="eastAsia"/>
                <w:kern w:val="0"/>
                <w:sz w:val="24"/>
                <w:szCs w:val="24"/>
              </w:rPr>
              <w:t>——</w:t>
            </w:r>
          </w:p>
        </w:tc>
        <w:tc>
          <w:tcPr>
            <w:tcW w:w="4285" w:type="dxa"/>
            <w:tcBorders>
              <w:top w:val="nil"/>
              <w:left w:val="nil"/>
              <w:bottom w:val="single" w:sz="4" w:space="0" w:color="auto"/>
              <w:right w:val="single" w:sz="4" w:space="0" w:color="auto"/>
            </w:tcBorders>
            <w:vAlign w:val="center"/>
          </w:tcPr>
          <w:p w:rsidR="00315D85" w:rsidRPr="00EC395F" w:rsidRDefault="00315D85" w:rsidP="005807BD">
            <w:pPr>
              <w:widowControl/>
              <w:jc w:val="left"/>
              <w:rPr>
                <w:rFonts w:ascii="仿宋" w:eastAsia="仿宋" w:hAnsi="仿宋" w:cs="仿宋_GB2312"/>
                <w:kern w:val="0"/>
                <w:sz w:val="24"/>
                <w:szCs w:val="24"/>
              </w:rPr>
            </w:pPr>
            <w:r w:rsidRPr="00EC395F">
              <w:rPr>
                <w:rFonts w:ascii="仿宋" w:eastAsia="仿宋" w:hAnsi="仿宋" w:cs="仿宋_GB2312" w:hint="eastAsia"/>
                <w:kern w:val="0"/>
                <w:sz w:val="24"/>
                <w:szCs w:val="24"/>
              </w:rPr>
              <w:t xml:space="preserve">　</w:t>
            </w:r>
          </w:p>
        </w:tc>
      </w:tr>
    </w:tbl>
    <w:p w:rsidR="0060127D" w:rsidRDefault="0060127D"/>
    <w:sectPr w:rsidR="0060127D" w:rsidSect="00315D8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4A5" w:rsidRDefault="00BB34A5" w:rsidP="00315D85">
      <w:r>
        <w:separator/>
      </w:r>
    </w:p>
  </w:endnote>
  <w:endnote w:type="continuationSeparator" w:id="0">
    <w:p w:rsidR="00BB34A5" w:rsidRDefault="00BB34A5" w:rsidP="00315D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4A5" w:rsidRDefault="00BB34A5" w:rsidP="00315D85">
      <w:r>
        <w:separator/>
      </w:r>
    </w:p>
  </w:footnote>
  <w:footnote w:type="continuationSeparator" w:id="0">
    <w:p w:rsidR="00BB34A5" w:rsidRDefault="00BB34A5" w:rsidP="00315D85">
      <w:r>
        <w:continuationSeparator/>
      </w:r>
    </w:p>
  </w:footnote>
  <w:footnote w:id="1">
    <w:p w:rsidR="00315D85" w:rsidRPr="00EC395F" w:rsidRDefault="00315D85" w:rsidP="00315D85">
      <w:pPr>
        <w:pStyle w:val="a5"/>
        <w:rPr>
          <w:rFonts w:ascii="仿宋" w:eastAsia="仿宋" w:hAnsi="仿宋" w:cs="仿宋_GB2312"/>
          <w:sz w:val="21"/>
          <w:szCs w:val="21"/>
          <w:lang w:eastAsia="zh-CN"/>
        </w:rPr>
      </w:pPr>
      <w:r w:rsidRPr="00EC395F">
        <w:rPr>
          <w:rStyle w:val="a6"/>
          <w:rFonts w:ascii="仿宋" w:eastAsia="仿宋" w:hAnsi="仿宋" w:cs="仿宋_GB2312" w:hint="eastAsia"/>
          <w:sz w:val="21"/>
          <w:szCs w:val="21"/>
        </w:rPr>
        <w:footnoteRef/>
      </w:r>
      <w:r w:rsidRPr="00EC395F">
        <w:rPr>
          <w:rFonts w:ascii="仿宋" w:eastAsia="仿宋" w:hAnsi="仿宋" w:cs="仿宋_GB2312" w:hint="eastAsia"/>
          <w:sz w:val="21"/>
          <w:szCs w:val="21"/>
          <w:lang w:eastAsia="zh-CN"/>
        </w:rPr>
        <w:t xml:space="preserve"> 办赛总支出：依据审计报告或财务报表中的数据；政府投入资金：指和体育局签订的合同价；社会赞助资金：包括除体育局之外的所有资金，含各类实物赞助折价，依据审计或财务报表；办赛总收入：办赛收入总和包括政府投入资金、社会赞助资金（含实物折价）、报名费以及其他来源的资金和实物赞助折价等。</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D85"/>
    <w:rsid w:val="00315D85"/>
    <w:rsid w:val="0060127D"/>
    <w:rsid w:val="00BB3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5D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15D85"/>
    <w:rPr>
      <w:sz w:val="18"/>
      <w:szCs w:val="18"/>
    </w:rPr>
  </w:style>
  <w:style w:type="paragraph" w:styleId="a4">
    <w:name w:val="footer"/>
    <w:basedOn w:val="a"/>
    <w:link w:val="Char0"/>
    <w:uiPriority w:val="99"/>
    <w:semiHidden/>
    <w:unhideWhenUsed/>
    <w:rsid w:val="00315D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5D85"/>
    <w:rPr>
      <w:sz w:val="18"/>
      <w:szCs w:val="18"/>
    </w:rPr>
  </w:style>
  <w:style w:type="paragraph" w:styleId="a5">
    <w:name w:val="footnote text"/>
    <w:basedOn w:val="a"/>
    <w:link w:val="Char1"/>
    <w:rsid w:val="00315D85"/>
    <w:pPr>
      <w:widowControl/>
      <w:snapToGrid w:val="0"/>
      <w:spacing w:after="200" w:line="276" w:lineRule="auto"/>
      <w:jc w:val="left"/>
    </w:pPr>
    <w:rPr>
      <w:kern w:val="0"/>
      <w:sz w:val="18"/>
      <w:szCs w:val="18"/>
      <w:lang w:eastAsia="en-US" w:bidi="en-US"/>
    </w:rPr>
  </w:style>
  <w:style w:type="character" w:customStyle="1" w:styleId="Char1">
    <w:name w:val="脚注文本 Char"/>
    <w:basedOn w:val="a0"/>
    <w:link w:val="a5"/>
    <w:rsid w:val="00315D85"/>
    <w:rPr>
      <w:rFonts w:ascii="Calibri" w:eastAsia="宋体" w:hAnsi="Calibri" w:cs="Times New Roman"/>
      <w:kern w:val="0"/>
      <w:sz w:val="18"/>
      <w:szCs w:val="18"/>
      <w:lang w:eastAsia="en-US" w:bidi="en-US"/>
    </w:rPr>
  </w:style>
  <w:style w:type="character" w:styleId="a6">
    <w:name w:val="footnote reference"/>
    <w:rsid w:val="00315D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2014-08-29T08:35:00Z</dcterms:created>
  <dcterms:modified xsi:type="dcterms:W3CDTF">2014-08-29T08:36:00Z</dcterms:modified>
</cp:coreProperties>
</file>